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EE08F" w14:textId="5C970D96" w:rsidR="006D2E52" w:rsidRPr="00294153" w:rsidRDefault="006D2E52" w:rsidP="006D2E52">
      <w:pPr>
        <w:widowControl w:val="0"/>
        <w:shd w:val="clear" w:color="auto" w:fill="FFFFFF"/>
        <w:tabs>
          <w:tab w:val="left" w:pos="709"/>
        </w:tabs>
        <w:autoSpaceDE w:val="0"/>
        <w:autoSpaceDN w:val="0"/>
        <w:adjustRightInd w:val="0"/>
        <w:spacing w:after="0" w:line="276" w:lineRule="auto"/>
        <w:jc w:val="right"/>
        <w:rPr>
          <w:rFonts w:ascii="Times New Roman" w:eastAsia="Calibri" w:hAnsi="Times New Roman" w:cs="Times New Roman"/>
          <w:sz w:val="28"/>
          <w:szCs w:val="28"/>
        </w:rPr>
      </w:pPr>
      <w:bookmarkStart w:id="0" w:name="_GoBack"/>
      <w:bookmarkEnd w:id="0"/>
      <w:r w:rsidRPr="00294153">
        <w:rPr>
          <w:rFonts w:ascii="Times New Roman" w:eastAsia="Calibri" w:hAnsi="Times New Roman" w:cs="Times New Roman"/>
          <w:sz w:val="28"/>
          <w:szCs w:val="28"/>
        </w:rPr>
        <w:t xml:space="preserve">Приложение </w:t>
      </w:r>
      <w:r w:rsidR="006A6873">
        <w:rPr>
          <w:rFonts w:ascii="Times New Roman" w:eastAsia="Calibri" w:hAnsi="Times New Roman" w:cs="Times New Roman"/>
          <w:sz w:val="28"/>
          <w:szCs w:val="28"/>
        </w:rPr>
        <w:t>3</w:t>
      </w:r>
    </w:p>
    <w:p w14:paraId="10B98540" w14:textId="77777777" w:rsidR="006D2E52" w:rsidRPr="00294153" w:rsidRDefault="006D2E52" w:rsidP="00B86D59">
      <w:pPr>
        <w:widowControl w:val="0"/>
        <w:shd w:val="clear" w:color="auto" w:fill="FFFFFF"/>
        <w:tabs>
          <w:tab w:val="left" w:pos="709"/>
        </w:tabs>
        <w:autoSpaceDE w:val="0"/>
        <w:autoSpaceDN w:val="0"/>
        <w:adjustRightInd w:val="0"/>
        <w:spacing w:after="0" w:line="276" w:lineRule="auto"/>
        <w:jc w:val="center"/>
        <w:rPr>
          <w:rFonts w:ascii="Times New Roman" w:eastAsia="Calibri" w:hAnsi="Times New Roman" w:cs="Times New Roman"/>
          <w:b/>
          <w:sz w:val="28"/>
          <w:szCs w:val="28"/>
        </w:rPr>
      </w:pPr>
    </w:p>
    <w:p w14:paraId="1CD63E6A" w14:textId="77777777" w:rsidR="006A6873" w:rsidRDefault="00C52367" w:rsidP="006A6873">
      <w:pPr>
        <w:widowControl w:val="0"/>
        <w:shd w:val="clear" w:color="auto" w:fill="FFFFFF"/>
        <w:tabs>
          <w:tab w:val="left" w:pos="709"/>
        </w:tabs>
        <w:autoSpaceDE w:val="0"/>
        <w:autoSpaceDN w:val="0"/>
        <w:adjustRightInd w:val="0"/>
        <w:spacing w:after="0" w:line="276" w:lineRule="auto"/>
        <w:jc w:val="center"/>
        <w:rPr>
          <w:rFonts w:ascii="Times New Roman" w:eastAsia="Calibri" w:hAnsi="Times New Roman" w:cs="Times New Roman"/>
          <w:b/>
          <w:color w:val="231F20"/>
          <w:sz w:val="28"/>
          <w:szCs w:val="28"/>
        </w:rPr>
      </w:pPr>
      <w:r w:rsidRPr="00294153">
        <w:rPr>
          <w:rFonts w:ascii="Times New Roman" w:eastAsia="Calibri" w:hAnsi="Times New Roman" w:cs="Times New Roman"/>
          <w:b/>
          <w:sz w:val="28"/>
          <w:szCs w:val="28"/>
        </w:rPr>
        <w:t>Информаци</w:t>
      </w:r>
      <w:r w:rsidR="006A6873">
        <w:rPr>
          <w:rFonts w:ascii="Times New Roman" w:eastAsia="Calibri" w:hAnsi="Times New Roman" w:cs="Times New Roman"/>
          <w:b/>
          <w:sz w:val="28"/>
          <w:szCs w:val="28"/>
        </w:rPr>
        <w:t>я о</w:t>
      </w:r>
      <w:r w:rsidR="00240594" w:rsidRPr="00294153">
        <w:rPr>
          <w:rFonts w:ascii="Times New Roman" w:eastAsia="Calibri" w:hAnsi="Times New Roman" w:cs="Times New Roman"/>
          <w:b/>
          <w:color w:val="000000"/>
          <w:sz w:val="28"/>
          <w:szCs w:val="28"/>
        </w:rPr>
        <w:t xml:space="preserve"> результатах </w:t>
      </w:r>
      <w:r w:rsidRPr="00294153">
        <w:rPr>
          <w:rFonts w:ascii="Times New Roman" w:eastAsia="Calibri" w:hAnsi="Times New Roman" w:cs="Times New Roman"/>
          <w:b/>
          <w:color w:val="000000"/>
          <w:sz w:val="28"/>
          <w:szCs w:val="28"/>
        </w:rPr>
        <w:t>деятельности</w:t>
      </w:r>
      <w:r w:rsidR="00B86D59" w:rsidRPr="00294153">
        <w:rPr>
          <w:rFonts w:ascii="Times New Roman" w:eastAsia="Calibri" w:hAnsi="Times New Roman" w:cs="Times New Roman"/>
          <w:b/>
          <w:color w:val="000000"/>
          <w:sz w:val="28"/>
          <w:szCs w:val="28"/>
        </w:rPr>
        <w:t xml:space="preserve"> </w:t>
      </w:r>
      <w:r w:rsidR="00B86D59" w:rsidRPr="00294153">
        <w:rPr>
          <w:rFonts w:ascii="Times New Roman" w:eastAsia="Calibri" w:hAnsi="Times New Roman" w:cs="Times New Roman"/>
          <w:b/>
          <w:color w:val="231F20"/>
          <w:sz w:val="28"/>
          <w:szCs w:val="28"/>
        </w:rPr>
        <w:t>Фонд</w:t>
      </w:r>
      <w:r w:rsidR="00240594" w:rsidRPr="00294153">
        <w:rPr>
          <w:rFonts w:ascii="Times New Roman" w:eastAsia="Calibri" w:hAnsi="Times New Roman" w:cs="Times New Roman"/>
          <w:b/>
          <w:color w:val="231F20"/>
          <w:sz w:val="28"/>
          <w:szCs w:val="28"/>
        </w:rPr>
        <w:t>а</w:t>
      </w:r>
      <w:r w:rsidR="00B86D59" w:rsidRPr="00294153">
        <w:rPr>
          <w:rFonts w:ascii="Times New Roman" w:eastAsia="Calibri" w:hAnsi="Times New Roman" w:cs="Times New Roman"/>
          <w:b/>
          <w:color w:val="231F20"/>
          <w:sz w:val="28"/>
          <w:szCs w:val="28"/>
        </w:rPr>
        <w:t xml:space="preserve"> развития Югры </w:t>
      </w:r>
    </w:p>
    <w:p w14:paraId="1562BCE2" w14:textId="5D11B413" w:rsidR="00C52367" w:rsidRPr="00294153" w:rsidRDefault="008549EB" w:rsidP="006A6873">
      <w:pPr>
        <w:widowControl w:val="0"/>
        <w:shd w:val="clear" w:color="auto" w:fill="FFFFFF"/>
        <w:tabs>
          <w:tab w:val="left" w:pos="709"/>
        </w:tabs>
        <w:autoSpaceDE w:val="0"/>
        <w:autoSpaceDN w:val="0"/>
        <w:adjustRightInd w:val="0"/>
        <w:spacing w:after="0" w:line="276" w:lineRule="auto"/>
        <w:jc w:val="center"/>
        <w:rPr>
          <w:rFonts w:ascii="Times New Roman" w:eastAsia="Calibri" w:hAnsi="Times New Roman" w:cs="Times New Roman"/>
          <w:b/>
          <w:color w:val="000000"/>
          <w:sz w:val="28"/>
          <w:szCs w:val="28"/>
        </w:rPr>
      </w:pPr>
      <w:r w:rsidRPr="00294153">
        <w:rPr>
          <w:rFonts w:ascii="Times New Roman" w:eastAsia="Calibri" w:hAnsi="Times New Roman" w:cs="Times New Roman"/>
          <w:b/>
          <w:color w:val="000000"/>
          <w:sz w:val="28"/>
          <w:szCs w:val="28"/>
        </w:rPr>
        <w:t>за 20</w:t>
      </w:r>
      <w:r w:rsidR="00690E4B" w:rsidRPr="00294153">
        <w:rPr>
          <w:rFonts w:ascii="Times New Roman" w:eastAsia="Calibri" w:hAnsi="Times New Roman" w:cs="Times New Roman"/>
          <w:b/>
          <w:color w:val="000000"/>
          <w:sz w:val="28"/>
          <w:szCs w:val="28"/>
        </w:rPr>
        <w:t>2</w:t>
      </w:r>
      <w:r w:rsidR="003B77EB" w:rsidRPr="00294153">
        <w:rPr>
          <w:rFonts w:ascii="Times New Roman" w:eastAsia="Calibri" w:hAnsi="Times New Roman" w:cs="Times New Roman"/>
          <w:b/>
          <w:color w:val="000000"/>
          <w:sz w:val="28"/>
          <w:szCs w:val="28"/>
        </w:rPr>
        <w:t>4</w:t>
      </w:r>
      <w:r w:rsidR="00C52367" w:rsidRPr="00294153">
        <w:rPr>
          <w:rFonts w:ascii="Times New Roman" w:eastAsia="Calibri" w:hAnsi="Times New Roman" w:cs="Times New Roman"/>
          <w:b/>
          <w:color w:val="000000"/>
          <w:sz w:val="28"/>
          <w:szCs w:val="28"/>
        </w:rPr>
        <w:t xml:space="preserve"> год</w:t>
      </w:r>
    </w:p>
    <w:p w14:paraId="07F4E513" w14:textId="77777777" w:rsidR="00655350" w:rsidRPr="00294153" w:rsidRDefault="00655350" w:rsidP="00D05BEC">
      <w:pPr>
        <w:spacing w:after="12" w:line="276" w:lineRule="auto"/>
        <w:ind w:firstLine="567"/>
        <w:jc w:val="center"/>
        <w:rPr>
          <w:rFonts w:ascii="Times New Roman" w:hAnsi="Times New Roman" w:cs="Times New Roman"/>
          <w:b/>
          <w:sz w:val="28"/>
          <w:szCs w:val="28"/>
        </w:rPr>
      </w:pPr>
    </w:p>
    <w:p w14:paraId="5904BB81" w14:textId="77777777" w:rsidR="00A87D4D" w:rsidRPr="00294153" w:rsidRDefault="00A87D4D" w:rsidP="00A87D4D">
      <w:pPr>
        <w:spacing w:after="0" w:line="360" w:lineRule="auto"/>
        <w:ind w:firstLine="709"/>
        <w:rPr>
          <w:rFonts w:ascii="Times New Roman" w:hAnsi="Times New Roman" w:cs="Times New Roman"/>
          <w:b/>
          <w:sz w:val="28"/>
          <w:szCs w:val="28"/>
        </w:rPr>
      </w:pPr>
      <w:r w:rsidRPr="00294153">
        <w:rPr>
          <w:rFonts w:ascii="Times New Roman" w:hAnsi="Times New Roman" w:cs="Times New Roman"/>
          <w:b/>
          <w:sz w:val="28"/>
          <w:szCs w:val="28"/>
        </w:rPr>
        <w:t xml:space="preserve">Основные направления деятельности (компетенции) Фонда: </w:t>
      </w:r>
    </w:p>
    <w:p w14:paraId="259A2725" w14:textId="77777777" w:rsidR="00A87D4D" w:rsidRPr="00294153" w:rsidRDefault="00A87D4D" w:rsidP="00A87D4D">
      <w:pPr>
        <w:pStyle w:val="a3"/>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294153">
        <w:rPr>
          <w:rFonts w:ascii="Times New Roman" w:hAnsi="Times New Roman" w:cs="Times New Roman"/>
          <w:bCs/>
          <w:sz w:val="28"/>
          <w:szCs w:val="28"/>
        </w:rPr>
        <w:t>сопровождение инвестиционных проектов по принципу «одного окна»;</w:t>
      </w:r>
    </w:p>
    <w:p w14:paraId="25DC83C5" w14:textId="77777777" w:rsidR="00A87D4D" w:rsidRPr="00294153" w:rsidRDefault="00A87D4D" w:rsidP="00A87D4D">
      <w:pPr>
        <w:pStyle w:val="a3"/>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294153">
        <w:rPr>
          <w:rFonts w:ascii="Times New Roman" w:hAnsi="Times New Roman" w:cs="Times New Roman"/>
          <w:bCs/>
          <w:sz w:val="28"/>
          <w:szCs w:val="28"/>
        </w:rPr>
        <w:t>обеспечение деятельности регионального фонда развития промышленности;</w:t>
      </w:r>
    </w:p>
    <w:p w14:paraId="17B7E16E" w14:textId="77777777" w:rsidR="00A87D4D" w:rsidRPr="00294153" w:rsidRDefault="00A87D4D" w:rsidP="00A87D4D">
      <w:pPr>
        <w:pStyle w:val="a3"/>
        <w:numPr>
          <w:ilvl w:val="0"/>
          <w:numId w:val="2"/>
        </w:numPr>
        <w:tabs>
          <w:tab w:val="left" w:pos="1134"/>
        </w:tabs>
        <w:spacing w:after="12" w:line="360" w:lineRule="auto"/>
        <w:ind w:left="0" w:firstLine="709"/>
        <w:jc w:val="both"/>
        <w:rPr>
          <w:rFonts w:ascii="Times New Roman" w:hAnsi="Times New Roman" w:cs="Times New Roman"/>
          <w:bCs/>
          <w:iCs/>
          <w:sz w:val="28"/>
          <w:szCs w:val="28"/>
        </w:rPr>
      </w:pPr>
      <w:r w:rsidRPr="00294153">
        <w:rPr>
          <w:rFonts w:ascii="Times New Roman" w:hAnsi="Times New Roman" w:cs="Times New Roman"/>
          <w:bCs/>
          <w:sz w:val="28"/>
          <w:szCs w:val="28"/>
        </w:rPr>
        <w:t>обеспечение деятельности центра компетенции в сфере туризма;</w:t>
      </w:r>
    </w:p>
    <w:p w14:paraId="044FE9AB" w14:textId="77777777" w:rsidR="00A87D4D" w:rsidRPr="00294153" w:rsidRDefault="00A87D4D" w:rsidP="00A87D4D">
      <w:pPr>
        <w:pStyle w:val="a3"/>
        <w:numPr>
          <w:ilvl w:val="0"/>
          <w:numId w:val="2"/>
        </w:numPr>
        <w:tabs>
          <w:tab w:val="left" w:pos="1134"/>
        </w:tabs>
        <w:spacing w:after="12" w:line="360" w:lineRule="auto"/>
        <w:ind w:left="0" w:firstLine="709"/>
        <w:jc w:val="both"/>
        <w:rPr>
          <w:rFonts w:ascii="Times New Roman" w:hAnsi="Times New Roman" w:cs="Times New Roman"/>
          <w:bCs/>
          <w:iCs/>
          <w:sz w:val="28"/>
          <w:szCs w:val="28"/>
        </w:rPr>
      </w:pPr>
      <w:r w:rsidRPr="00294153">
        <w:rPr>
          <w:rFonts w:ascii="Times New Roman" w:hAnsi="Times New Roman" w:cs="Times New Roman"/>
          <w:bCs/>
          <w:sz w:val="28"/>
          <w:szCs w:val="28"/>
        </w:rPr>
        <w:t>обеспечение деятельности центра компетенций в сфере сельскохозяйственной кооперации и поддержки фермеров;</w:t>
      </w:r>
    </w:p>
    <w:p w14:paraId="08C3FB26" w14:textId="77777777" w:rsidR="00A87D4D" w:rsidRPr="00294153" w:rsidRDefault="00A87D4D" w:rsidP="009C7B70">
      <w:pPr>
        <w:pStyle w:val="a3"/>
        <w:numPr>
          <w:ilvl w:val="0"/>
          <w:numId w:val="2"/>
        </w:numPr>
        <w:tabs>
          <w:tab w:val="left" w:pos="1134"/>
        </w:tabs>
        <w:spacing w:after="0" w:line="360" w:lineRule="auto"/>
        <w:ind w:left="0" w:firstLine="709"/>
        <w:jc w:val="both"/>
        <w:rPr>
          <w:rFonts w:ascii="Times New Roman" w:hAnsi="Times New Roman" w:cs="Times New Roman"/>
          <w:sz w:val="28"/>
          <w:szCs w:val="28"/>
        </w:rPr>
      </w:pPr>
      <w:r w:rsidRPr="00294153">
        <w:rPr>
          <w:rFonts w:ascii="Times New Roman" w:hAnsi="Times New Roman" w:cs="Times New Roman"/>
          <w:sz w:val="28"/>
          <w:szCs w:val="28"/>
        </w:rPr>
        <w:t>обеспечение деятельности регионального центра компетенций в сфере производительности труда;</w:t>
      </w:r>
    </w:p>
    <w:p w14:paraId="618692DB" w14:textId="77777777" w:rsidR="00A87D4D" w:rsidRPr="00294153" w:rsidRDefault="00A87D4D" w:rsidP="009C7B70">
      <w:pPr>
        <w:pStyle w:val="a3"/>
        <w:numPr>
          <w:ilvl w:val="0"/>
          <w:numId w:val="2"/>
        </w:numPr>
        <w:tabs>
          <w:tab w:val="left" w:pos="1134"/>
        </w:tabs>
        <w:spacing w:after="0" w:line="360" w:lineRule="auto"/>
        <w:ind w:left="0" w:firstLine="709"/>
        <w:jc w:val="both"/>
        <w:rPr>
          <w:rFonts w:ascii="Times New Roman" w:hAnsi="Times New Roman" w:cs="Times New Roman"/>
          <w:sz w:val="28"/>
          <w:szCs w:val="28"/>
        </w:rPr>
      </w:pPr>
      <w:r w:rsidRPr="00294153">
        <w:rPr>
          <w:rFonts w:ascii="Times New Roman" w:hAnsi="Times New Roman" w:cs="Times New Roman"/>
          <w:bCs/>
          <w:iCs/>
          <w:sz w:val="28"/>
          <w:szCs w:val="28"/>
        </w:rPr>
        <w:t xml:space="preserve">инвестиционное продвижение </w:t>
      </w:r>
      <w:r w:rsidRPr="00294153">
        <w:rPr>
          <w:rFonts w:ascii="Times New Roman" w:hAnsi="Times New Roman" w:cs="Times New Roman"/>
          <w:bCs/>
          <w:sz w:val="28"/>
          <w:szCs w:val="28"/>
        </w:rPr>
        <w:t>Ханты-Мансийского автономного округа – Югры (далее также – автономный округ)</w:t>
      </w:r>
      <w:r w:rsidRPr="00294153">
        <w:rPr>
          <w:rFonts w:ascii="Times New Roman" w:hAnsi="Times New Roman" w:cs="Times New Roman"/>
          <w:bCs/>
          <w:iCs/>
          <w:sz w:val="28"/>
          <w:szCs w:val="28"/>
        </w:rPr>
        <w:t>.</w:t>
      </w:r>
    </w:p>
    <w:p w14:paraId="02BCC24A" w14:textId="77777777" w:rsidR="00A87D4D" w:rsidRPr="00294153" w:rsidRDefault="00A87D4D" w:rsidP="008843D2">
      <w:pPr>
        <w:pStyle w:val="a3"/>
        <w:tabs>
          <w:tab w:val="left" w:pos="1134"/>
        </w:tabs>
        <w:spacing w:after="0" w:line="360" w:lineRule="auto"/>
        <w:ind w:left="709"/>
        <w:jc w:val="both"/>
        <w:rPr>
          <w:rFonts w:ascii="Times New Roman" w:hAnsi="Times New Roman" w:cs="Times New Roman"/>
          <w:sz w:val="28"/>
          <w:szCs w:val="28"/>
        </w:rPr>
      </w:pPr>
    </w:p>
    <w:p w14:paraId="1E76457C" w14:textId="77777777" w:rsidR="00240594" w:rsidRPr="00294153" w:rsidRDefault="00535310" w:rsidP="00A87D4D">
      <w:pPr>
        <w:spacing w:after="0" w:line="360" w:lineRule="auto"/>
        <w:ind w:firstLine="709"/>
        <w:jc w:val="both"/>
        <w:rPr>
          <w:rFonts w:ascii="Times New Roman" w:hAnsi="Times New Roman" w:cs="Times New Roman"/>
          <w:b/>
          <w:sz w:val="28"/>
          <w:szCs w:val="28"/>
        </w:rPr>
      </w:pPr>
      <w:r w:rsidRPr="00294153">
        <w:rPr>
          <w:rFonts w:ascii="Times New Roman" w:hAnsi="Times New Roman" w:cs="Times New Roman"/>
          <w:b/>
          <w:sz w:val="28"/>
          <w:szCs w:val="28"/>
        </w:rPr>
        <w:t>С</w:t>
      </w:r>
      <w:r w:rsidR="00240594" w:rsidRPr="00294153">
        <w:rPr>
          <w:rFonts w:ascii="Times New Roman" w:hAnsi="Times New Roman" w:cs="Times New Roman"/>
          <w:b/>
          <w:sz w:val="28"/>
          <w:szCs w:val="28"/>
        </w:rPr>
        <w:t>опровождени</w:t>
      </w:r>
      <w:r w:rsidR="00870B63" w:rsidRPr="00294153">
        <w:rPr>
          <w:rFonts w:ascii="Times New Roman" w:hAnsi="Times New Roman" w:cs="Times New Roman"/>
          <w:b/>
          <w:sz w:val="28"/>
          <w:szCs w:val="28"/>
        </w:rPr>
        <w:t>е</w:t>
      </w:r>
      <w:r w:rsidR="00240594" w:rsidRPr="00294153">
        <w:rPr>
          <w:rFonts w:ascii="Times New Roman" w:hAnsi="Times New Roman" w:cs="Times New Roman"/>
          <w:b/>
          <w:sz w:val="28"/>
          <w:szCs w:val="28"/>
        </w:rPr>
        <w:t xml:space="preserve"> инвестиционных проектов</w:t>
      </w:r>
      <w:r w:rsidR="00A87D4D" w:rsidRPr="00294153">
        <w:rPr>
          <w:rFonts w:ascii="Times New Roman" w:hAnsi="Times New Roman" w:cs="Times New Roman"/>
          <w:b/>
          <w:sz w:val="28"/>
          <w:szCs w:val="28"/>
        </w:rPr>
        <w:t xml:space="preserve"> по принципу «одного окна»</w:t>
      </w:r>
      <w:r w:rsidR="00240594" w:rsidRPr="00294153">
        <w:rPr>
          <w:rFonts w:ascii="Times New Roman" w:hAnsi="Times New Roman" w:cs="Times New Roman"/>
          <w:b/>
          <w:sz w:val="28"/>
          <w:szCs w:val="28"/>
        </w:rPr>
        <w:t xml:space="preserve">. </w:t>
      </w:r>
    </w:p>
    <w:p w14:paraId="3A546D28" w14:textId="77777777" w:rsidR="00876226" w:rsidRPr="00294153" w:rsidRDefault="00793F19" w:rsidP="00A87D4D">
      <w:pPr>
        <w:pStyle w:val="ad"/>
        <w:spacing w:before="0" w:beforeAutospacing="0" w:after="0" w:afterAutospacing="0" w:line="360" w:lineRule="auto"/>
        <w:ind w:firstLine="709"/>
        <w:jc w:val="both"/>
        <w:rPr>
          <w:rFonts w:eastAsiaTheme="minorHAnsi"/>
          <w:bCs/>
          <w:sz w:val="28"/>
          <w:szCs w:val="28"/>
          <w:lang w:eastAsia="en-US"/>
        </w:rPr>
      </w:pPr>
      <w:r w:rsidRPr="00294153">
        <w:rPr>
          <w:rFonts w:eastAsiaTheme="minorHAnsi"/>
          <w:bCs/>
          <w:sz w:val="28"/>
          <w:szCs w:val="28"/>
          <w:lang w:eastAsia="en-US"/>
        </w:rPr>
        <w:t>Общий портфель</w:t>
      </w:r>
      <w:r w:rsidR="00F81CA5" w:rsidRPr="00294153">
        <w:rPr>
          <w:rFonts w:eastAsiaTheme="minorHAnsi"/>
          <w:bCs/>
          <w:sz w:val="28"/>
          <w:szCs w:val="28"/>
          <w:lang w:eastAsia="en-US"/>
        </w:rPr>
        <w:t xml:space="preserve"> Фонда в 2024 году составил</w:t>
      </w:r>
      <w:r w:rsidR="00F925D7" w:rsidRPr="00294153">
        <w:rPr>
          <w:rFonts w:eastAsiaTheme="minorHAnsi"/>
          <w:bCs/>
          <w:sz w:val="28"/>
          <w:szCs w:val="28"/>
          <w:lang w:eastAsia="en-US"/>
        </w:rPr>
        <w:t xml:space="preserve"> 10</w:t>
      </w:r>
      <w:r w:rsidR="005F1D2F" w:rsidRPr="00294153">
        <w:rPr>
          <w:rFonts w:eastAsiaTheme="minorHAnsi"/>
          <w:bCs/>
          <w:sz w:val="28"/>
          <w:szCs w:val="28"/>
          <w:lang w:eastAsia="en-US"/>
        </w:rPr>
        <w:t>7</w:t>
      </w:r>
      <w:r w:rsidR="00F925D7" w:rsidRPr="00294153">
        <w:rPr>
          <w:rFonts w:eastAsiaTheme="minorHAnsi"/>
          <w:bCs/>
          <w:sz w:val="28"/>
          <w:szCs w:val="28"/>
          <w:lang w:eastAsia="en-US"/>
        </w:rPr>
        <w:t xml:space="preserve"> проектов объемом инвестиций 1</w:t>
      </w:r>
      <w:r w:rsidR="003B77EB" w:rsidRPr="00294153">
        <w:rPr>
          <w:rFonts w:eastAsiaTheme="minorHAnsi"/>
          <w:bCs/>
          <w:sz w:val="28"/>
          <w:szCs w:val="28"/>
          <w:lang w:eastAsia="en-US"/>
        </w:rPr>
        <w:t>2</w:t>
      </w:r>
      <w:r w:rsidR="005F1D2F" w:rsidRPr="00294153">
        <w:rPr>
          <w:rFonts w:eastAsiaTheme="minorHAnsi"/>
          <w:bCs/>
          <w:sz w:val="28"/>
          <w:szCs w:val="28"/>
          <w:lang w:eastAsia="en-US"/>
        </w:rPr>
        <w:t>8,8</w:t>
      </w:r>
      <w:r w:rsidR="00F925D7" w:rsidRPr="00294153">
        <w:rPr>
          <w:rFonts w:eastAsiaTheme="minorHAnsi"/>
          <w:bCs/>
          <w:sz w:val="28"/>
          <w:szCs w:val="28"/>
          <w:lang w:eastAsia="en-US"/>
        </w:rPr>
        <w:t xml:space="preserve"> млрд рублей</w:t>
      </w:r>
      <w:r w:rsidR="00F81CA5" w:rsidRPr="00294153">
        <w:rPr>
          <w:rFonts w:eastAsiaTheme="minorHAnsi"/>
          <w:bCs/>
          <w:sz w:val="28"/>
          <w:szCs w:val="28"/>
          <w:lang w:eastAsia="en-US"/>
        </w:rPr>
        <w:t>, в</w:t>
      </w:r>
      <w:r w:rsidRPr="00294153">
        <w:rPr>
          <w:rFonts w:eastAsiaTheme="minorHAnsi"/>
          <w:bCs/>
          <w:sz w:val="28"/>
          <w:szCs w:val="28"/>
          <w:lang w:eastAsia="en-US"/>
        </w:rPr>
        <w:t xml:space="preserve"> том числе </w:t>
      </w:r>
      <w:r w:rsidR="00DB3C73" w:rsidRPr="00294153">
        <w:rPr>
          <w:rFonts w:eastAsiaTheme="minorHAnsi"/>
          <w:bCs/>
          <w:sz w:val="28"/>
          <w:szCs w:val="28"/>
          <w:lang w:eastAsia="en-US"/>
        </w:rPr>
        <w:t xml:space="preserve">согласно постановлению Правительства автономного округа от 27 декабря 2013 года № 590-п </w:t>
      </w:r>
      <w:r w:rsidR="001C709F" w:rsidRPr="00294153">
        <w:rPr>
          <w:rFonts w:eastAsiaTheme="minorHAnsi"/>
          <w:bCs/>
          <w:sz w:val="28"/>
          <w:szCs w:val="28"/>
          <w:lang w:eastAsia="en-US"/>
        </w:rPr>
        <w:br/>
      </w:r>
      <w:r w:rsidR="00B01627" w:rsidRPr="00294153">
        <w:rPr>
          <w:rFonts w:eastAsiaTheme="minorHAnsi"/>
          <w:bCs/>
          <w:sz w:val="28"/>
          <w:szCs w:val="28"/>
          <w:lang w:eastAsia="en-US"/>
        </w:rPr>
        <w:t>«</w:t>
      </w:r>
      <w:r w:rsidR="00DB3C73" w:rsidRPr="00294153">
        <w:rPr>
          <w:rFonts w:eastAsiaTheme="minorHAnsi"/>
          <w:bCs/>
          <w:sz w:val="28"/>
          <w:szCs w:val="28"/>
          <w:lang w:eastAsia="en-US"/>
        </w:rPr>
        <w:t>О Регламенте по сопровождению инвестиционных проектов в Ханты-Мансийском автономном округе – Югре</w:t>
      </w:r>
      <w:r w:rsidR="00B01627" w:rsidRPr="00294153">
        <w:rPr>
          <w:rFonts w:eastAsiaTheme="minorHAnsi"/>
          <w:bCs/>
          <w:sz w:val="28"/>
          <w:szCs w:val="28"/>
          <w:lang w:eastAsia="en-US"/>
        </w:rPr>
        <w:t>»</w:t>
      </w:r>
      <w:r w:rsidR="00A87D4D" w:rsidRPr="00294153">
        <w:rPr>
          <w:rFonts w:eastAsiaTheme="minorHAnsi"/>
          <w:bCs/>
          <w:sz w:val="28"/>
          <w:szCs w:val="28"/>
          <w:lang w:eastAsia="en-US"/>
        </w:rPr>
        <w:t xml:space="preserve"> (далее – Регламент)</w:t>
      </w:r>
      <w:r w:rsidR="003654C7" w:rsidRPr="00294153">
        <w:rPr>
          <w:rFonts w:eastAsiaTheme="minorHAnsi"/>
          <w:bCs/>
          <w:sz w:val="28"/>
          <w:szCs w:val="28"/>
          <w:lang w:eastAsia="en-US"/>
        </w:rPr>
        <w:t xml:space="preserve"> </w:t>
      </w:r>
      <w:r w:rsidR="003B77EB" w:rsidRPr="00294153">
        <w:rPr>
          <w:rFonts w:eastAsiaTheme="minorHAnsi"/>
          <w:bCs/>
          <w:sz w:val="28"/>
          <w:szCs w:val="28"/>
          <w:lang w:eastAsia="en-US"/>
        </w:rPr>
        <w:t>31</w:t>
      </w:r>
      <w:r w:rsidR="003654C7" w:rsidRPr="00294153">
        <w:rPr>
          <w:rFonts w:eastAsiaTheme="minorHAnsi"/>
          <w:bCs/>
          <w:sz w:val="28"/>
          <w:szCs w:val="28"/>
          <w:lang w:eastAsia="en-US"/>
        </w:rPr>
        <w:t xml:space="preserve"> проект </w:t>
      </w:r>
      <w:r w:rsidR="00F81CA5" w:rsidRPr="00294153">
        <w:rPr>
          <w:rFonts w:eastAsiaTheme="minorHAnsi"/>
          <w:bCs/>
          <w:sz w:val="28"/>
          <w:szCs w:val="28"/>
          <w:lang w:eastAsia="en-US"/>
        </w:rPr>
        <w:t xml:space="preserve">сопровождался </w:t>
      </w:r>
      <w:r w:rsidR="003654C7" w:rsidRPr="00294153">
        <w:rPr>
          <w:rFonts w:eastAsiaTheme="minorHAnsi"/>
          <w:bCs/>
          <w:sz w:val="28"/>
          <w:szCs w:val="28"/>
          <w:lang w:eastAsia="en-US"/>
        </w:rPr>
        <w:t xml:space="preserve">по принципу </w:t>
      </w:r>
      <w:r w:rsidR="00B01627" w:rsidRPr="00294153">
        <w:rPr>
          <w:rFonts w:eastAsiaTheme="minorHAnsi"/>
          <w:bCs/>
          <w:sz w:val="28"/>
          <w:szCs w:val="28"/>
          <w:lang w:eastAsia="en-US"/>
        </w:rPr>
        <w:t>«</w:t>
      </w:r>
      <w:r w:rsidR="003654C7" w:rsidRPr="00294153">
        <w:rPr>
          <w:rFonts w:eastAsiaTheme="minorHAnsi"/>
          <w:bCs/>
          <w:sz w:val="28"/>
          <w:szCs w:val="28"/>
          <w:lang w:eastAsia="en-US"/>
        </w:rPr>
        <w:t>одного окна</w:t>
      </w:r>
      <w:r w:rsidR="00B01627" w:rsidRPr="00294153">
        <w:rPr>
          <w:rFonts w:eastAsiaTheme="minorHAnsi"/>
          <w:bCs/>
          <w:sz w:val="28"/>
          <w:szCs w:val="28"/>
          <w:lang w:eastAsia="en-US"/>
        </w:rPr>
        <w:t>»</w:t>
      </w:r>
      <w:r w:rsidR="00DB3C73" w:rsidRPr="00294153">
        <w:rPr>
          <w:rFonts w:eastAsiaTheme="minorHAnsi"/>
          <w:bCs/>
          <w:sz w:val="28"/>
          <w:szCs w:val="28"/>
          <w:lang w:eastAsia="en-US"/>
        </w:rPr>
        <w:t xml:space="preserve"> с </w:t>
      </w:r>
      <w:r w:rsidR="00991F1C" w:rsidRPr="00294153">
        <w:rPr>
          <w:rFonts w:eastAsiaTheme="minorHAnsi"/>
          <w:bCs/>
          <w:sz w:val="28"/>
          <w:szCs w:val="28"/>
          <w:lang w:eastAsia="en-US"/>
        </w:rPr>
        <w:t xml:space="preserve">объемом инвестиций </w:t>
      </w:r>
      <w:r w:rsidR="003B77EB" w:rsidRPr="00294153">
        <w:rPr>
          <w:rFonts w:eastAsiaTheme="minorHAnsi"/>
          <w:bCs/>
          <w:sz w:val="28"/>
          <w:szCs w:val="28"/>
          <w:lang w:eastAsia="en-US"/>
        </w:rPr>
        <w:t>41</w:t>
      </w:r>
      <w:r w:rsidR="00991F1C" w:rsidRPr="00294153">
        <w:rPr>
          <w:rFonts w:eastAsiaTheme="minorHAnsi"/>
          <w:bCs/>
          <w:sz w:val="28"/>
          <w:szCs w:val="28"/>
          <w:lang w:eastAsia="en-US"/>
        </w:rPr>
        <w:t xml:space="preserve"> млрд рублей</w:t>
      </w:r>
      <w:r w:rsidR="003654C7" w:rsidRPr="00294153">
        <w:rPr>
          <w:rFonts w:eastAsiaTheme="minorHAnsi"/>
          <w:bCs/>
          <w:sz w:val="28"/>
          <w:szCs w:val="28"/>
          <w:lang w:eastAsia="en-US"/>
        </w:rPr>
        <w:t>. В 202</w:t>
      </w:r>
      <w:r w:rsidR="003B77EB" w:rsidRPr="00294153">
        <w:rPr>
          <w:rFonts w:eastAsiaTheme="minorHAnsi"/>
          <w:bCs/>
          <w:sz w:val="28"/>
          <w:szCs w:val="28"/>
          <w:lang w:eastAsia="en-US"/>
        </w:rPr>
        <w:t>4</w:t>
      </w:r>
      <w:r w:rsidR="003654C7" w:rsidRPr="00294153">
        <w:rPr>
          <w:rFonts w:eastAsiaTheme="minorHAnsi"/>
          <w:bCs/>
          <w:sz w:val="28"/>
          <w:szCs w:val="28"/>
          <w:lang w:eastAsia="en-US"/>
        </w:rPr>
        <w:t xml:space="preserve"> году з</w:t>
      </w:r>
      <w:r w:rsidR="00876226" w:rsidRPr="00294153">
        <w:rPr>
          <w:rFonts w:eastAsiaTheme="minorHAnsi"/>
          <w:bCs/>
          <w:sz w:val="28"/>
          <w:szCs w:val="28"/>
          <w:lang w:eastAsia="en-US"/>
        </w:rPr>
        <w:t>аключен</w:t>
      </w:r>
      <w:r w:rsidR="0071234D" w:rsidRPr="00294153">
        <w:rPr>
          <w:rFonts w:eastAsiaTheme="minorHAnsi"/>
          <w:bCs/>
          <w:sz w:val="28"/>
          <w:szCs w:val="28"/>
          <w:lang w:eastAsia="en-US"/>
        </w:rPr>
        <w:t>о</w:t>
      </w:r>
      <w:r w:rsidR="00876226" w:rsidRPr="00294153">
        <w:rPr>
          <w:rFonts w:eastAsiaTheme="minorHAnsi"/>
          <w:bCs/>
          <w:sz w:val="28"/>
          <w:szCs w:val="28"/>
          <w:lang w:eastAsia="en-US"/>
        </w:rPr>
        <w:t xml:space="preserve"> </w:t>
      </w:r>
      <w:r w:rsidR="0071234D" w:rsidRPr="00294153">
        <w:rPr>
          <w:rFonts w:eastAsiaTheme="minorHAnsi"/>
          <w:bCs/>
          <w:sz w:val="28"/>
          <w:szCs w:val="28"/>
          <w:lang w:eastAsia="en-US"/>
        </w:rPr>
        <w:t>9</w:t>
      </w:r>
      <w:r w:rsidR="00F81CA5" w:rsidRPr="00294153">
        <w:rPr>
          <w:rFonts w:eastAsiaTheme="minorHAnsi"/>
          <w:bCs/>
          <w:sz w:val="28"/>
          <w:szCs w:val="28"/>
          <w:lang w:eastAsia="en-US"/>
        </w:rPr>
        <w:t xml:space="preserve"> новых </w:t>
      </w:r>
      <w:r w:rsidR="00876226" w:rsidRPr="00294153">
        <w:rPr>
          <w:rFonts w:eastAsiaTheme="minorHAnsi"/>
          <w:bCs/>
          <w:sz w:val="28"/>
          <w:szCs w:val="28"/>
          <w:lang w:eastAsia="en-US"/>
        </w:rPr>
        <w:t>соглашени</w:t>
      </w:r>
      <w:r w:rsidR="00677484" w:rsidRPr="00294153">
        <w:rPr>
          <w:rFonts w:eastAsiaTheme="minorHAnsi"/>
          <w:bCs/>
          <w:sz w:val="28"/>
          <w:szCs w:val="28"/>
          <w:lang w:eastAsia="en-US"/>
        </w:rPr>
        <w:t>й</w:t>
      </w:r>
      <w:r w:rsidR="00A87D4D" w:rsidRPr="00294153">
        <w:rPr>
          <w:rFonts w:eastAsiaTheme="minorHAnsi"/>
          <w:bCs/>
          <w:sz w:val="28"/>
          <w:szCs w:val="28"/>
          <w:lang w:eastAsia="en-US"/>
        </w:rPr>
        <w:t xml:space="preserve"> в соответствии с указанным Регламентом.</w:t>
      </w:r>
    </w:p>
    <w:p w14:paraId="53EC7078" w14:textId="77777777" w:rsidR="00F81CA5" w:rsidRPr="00294153" w:rsidRDefault="00F81CA5" w:rsidP="00A87D4D">
      <w:pPr>
        <w:tabs>
          <w:tab w:val="left" w:pos="709"/>
        </w:tabs>
        <w:spacing w:after="0" w:line="360" w:lineRule="auto"/>
        <w:ind w:firstLine="709"/>
        <w:jc w:val="both"/>
        <w:rPr>
          <w:rFonts w:ascii="Times New Roman" w:hAnsi="Times New Roman" w:cs="Times New Roman"/>
          <w:sz w:val="28"/>
          <w:szCs w:val="28"/>
        </w:rPr>
      </w:pPr>
      <w:r w:rsidRPr="00294153">
        <w:rPr>
          <w:rFonts w:ascii="Times New Roman" w:hAnsi="Times New Roman" w:cs="Times New Roman"/>
          <w:sz w:val="28"/>
          <w:szCs w:val="28"/>
        </w:rPr>
        <w:t xml:space="preserve">На постоянной основе осуществляется информационно-консультационное сопровождение и содействие в реализации инвестиционных проектов посредством телефонных звонков, обращений по </w:t>
      </w:r>
      <w:r w:rsidRPr="00294153">
        <w:rPr>
          <w:rFonts w:ascii="Times New Roman" w:hAnsi="Times New Roman" w:cs="Times New Roman"/>
          <w:sz w:val="28"/>
          <w:szCs w:val="28"/>
        </w:rPr>
        <w:lastRenderedPageBreak/>
        <w:t>электронной почте, рабочих вс</w:t>
      </w:r>
      <w:r w:rsidR="006149C8" w:rsidRPr="00294153">
        <w:rPr>
          <w:rFonts w:ascii="Times New Roman" w:hAnsi="Times New Roman" w:cs="Times New Roman"/>
          <w:sz w:val="28"/>
          <w:szCs w:val="28"/>
        </w:rPr>
        <w:t xml:space="preserve">треч (в том числе в режиме ВКС), </w:t>
      </w:r>
      <w:r w:rsidRPr="00294153">
        <w:rPr>
          <w:rFonts w:ascii="Times New Roman" w:hAnsi="Times New Roman" w:cs="Times New Roman"/>
          <w:sz w:val="28"/>
          <w:szCs w:val="28"/>
        </w:rPr>
        <w:t xml:space="preserve">содействие инвесторам в поиске земельных участков для инвесторов, планирующих реализацию инвестиционных проектов на территории Югры. </w:t>
      </w:r>
    </w:p>
    <w:p w14:paraId="30A39CBD" w14:textId="77777777" w:rsidR="00E36E56" w:rsidRPr="00294153" w:rsidRDefault="00E36E56" w:rsidP="007A7D89">
      <w:pPr>
        <w:autoSpaceDE w:val="0"/>
        <w:autoSpaceDN w:val="0"/>
        <w:adjustRightInd w:val="0"/>
        <w:spacing w:after="0" w:line="360" w:lineRule="auto"/>
        <w:ind w:firstLine="708"/>
        <w:jc w:val="both"/>
        <w:rPr>
          <w:rFonts w:ascii="Times New Roman" w:hAnsi="Times New Roman"/>
          <w:sz w:val="28"/>
          <w:szCs w:val="28"/>
          <w:u w:val="single"/>
        </w:rPr>
      </w:pPr>
    </w:p>
    <w:p w14:paraId="0FC0BCC7" w14:textId="77777777" w:rsidR="00210088" w:rsidRPr="00294153" w:rsidRDefault="00210088" w:rsidP="007A7D89">
      <w:pPr>
        <w:autoSpaceDE w:val="0"/>
        <w:autoSpaceDN w:val="0"/>
        <w:adjustRightInd w:val="0"/>
        <w:spacing w:after="0" w:line="360" w:lineRule="auto"/>
        <w:ind w:firstLine="708"/>
        <w:jc w:val="both"/>
        <w:rPr>
          <w:rFonts w:ascii="Times New Roman" w:hAnsi="Times New Roman"/>
          <w:sz w:val="28"/>
          <w:szCs w:val="28"/>
          <w:u w:val="single"/>
        </w:rPr>
      </w:pPr>
      <w:r w:rsidRPr="00294153">
        <w:rPr>
          <w:rFonts w:ascii="Times New Roman" w:hAnsi="Times New Roman"/>
          <w:sz w:val="28"/>
          <w:szCs w:val="28"/>
          <w:u w:val="single"/>
        </w:rPr>
        <w:t>Создание и развитие индустриальных парков, промышленных площадок, кластеров, территорий с особыми условиями ведения экономической деятельности</w:t>
      </w:r>
    </w:p>
    <w:p w14:paraId="7016E805" w14:textId="77777777" w:rsidR="00210088" w:rsidRPr="00294153" w:rsidRDefault="00210088" w:rsidP="00210088">
      <w:pPr>
        <w:spacing w:after="0" w:line="360" w:lineRule="auto"/>
        <w:ind w:firstLine="709"/>
        <w:jc w:val="both"/>
        <w:rPr>
          <w:rFonts w:ascii="Times New Roman" w:hAnsi="Times New Roman" w:cs="Times New Roman"/>
          <w:b/>
          <w:iCs/>
          <w:sz w:val="28"/>
          <w:szCs w:val="28"/>
        </w:rPr>
      </w:pPr>
      <w:r w:rsidRPr="00294153">
        <w:rPr>
          <w:rFonts w:ascii="Times New Roman" w:hAnsi="Times New Roman" w:cs="Times New Roman"/>
          <w:b/>
          <w:iCs/>
          <w:sz w:val="28"/>
          <w:szCs w:val="28"/>
        </w:rPr>
        <w:t>Особая экономическая зона:</w:t>
      </w:r>
    </w:p>
    <w:p w14:paraId="39CFFDD4"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 xml:space="preserve">Осуществляются работы по разработке схемы внешнего электроснабжения ОЭЗ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Нягань</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w:t>
      </w:r>
    </w:p>
    <w:p w14:paraId="7B498B26"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 xml:space="preserve">Осуществлена методическая, консультационная и организационная поддержка ООО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ЮЛХ-Мебель</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в подготовке пакета документов для подачи заявки на заключении соглашения о реализации инвестиционного проекта. Разработан план мероприятий по реализации инвестиционного проекта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Строительство мебельной фабрики в ОЭЗ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Нягань</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(ООО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ЮЛХ-Мебель</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Соглашение об осуществлении промышленно-производственной деятельности в ОЭЗ промышленно-производственного типа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Нягань</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заключено 18.11.2024 г.</w:t>
      </w:r>
    </w:p>
    <w:p w14:paraId="4F6C288A"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 xml:space="preserve">Осуществляется взаимодействие с потенциальными исполнителями предпроектных работ по обеспечению ОЭЗ ж/д и тупиком, проводятся конкурсные процедуры на право заключения договора по разработке предпроектной документации на устройство примыкания к инфраструктуре ОАО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РЖД</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новых железнодорожных путей необщего пользования объекта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Промышленная площадка г. Нягань</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w:t>
      </w:r>
    </w:p>
    <w:p w14:paraId="035C1A2B"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 xml:space="preserve">На постоянной основе осуществляется работа с потенциальными резидентами ОЭЗ по вопросам локализации производства на территории промышленной площадки. </w:t>
      </w:r>
    </w:p>
    <w:p w14:paraId="7F648389" w14:textId="77777777" w:rsidR="00210088" w:rsidRPr="00294153" w:rsidRDefault="00210088" w:rsidP="00210088">
      <w:pPr>
        <w:spacing w:after="0" w:line="360" w:lineRule="auto"/>
        <w:ind w:firstLine="709"/>
        <w:jc w:val="both"/>
        <w:rPr>
          <w:rFonts w:ascii="Times New Roman" w:hAnsi="Times New Roman" w:cs="Times New Roman"/>
          <w:b/>
          <w:iCs/>
          <w:sz w:val="28"/>
          <w:szCs w:val="28"/>
        </w:rPr>
      </w:pPr>
      <w:r w:rsidRPr="00294153">
        <w:rPr>
          <w:rFonts w:ascii="Times New Roman" w:hAnsi="Times New Roman" w:cs="Times New Roman"/>
          <w:b/>
          <w:iCs/>
          <w:sz w:val="28"/>
          <w:szCs w:val="28"/>
        </w:rPr>
        <w:t>Промышленная площадка, г. Когалым</w:t>
      </w:r>
    </w:p>
    <w:p w14:paraId="4E172D82"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 xml:space="preserve">Завершен комплекс работ по капитальному ремонту здания СТО, осуществлено технологическое присоединение энергопринимающих </w:t>
      </w:r>
      <w:r w:rsidRPr="00294153">
        <w:rPr>
          <w:rFonts w:ascii="Times New Roman" w:hAnsi="Times New Roman" w:cs="Times New Roman"/>
          <w:iCs/>
          <w:sz w:val="28"/>
          <w:szCs w:val="28"/>
        </w:rPr>
        <w:lastRenderedPageBreak/>
        <w:t>устройств КТПН-6/0,4 кВ (2х630 кВА) № 147 для электроснабжения промышленной площадки. Заключены договоры с ресурсоснабжающими организациями (тепло-, водо-, электроснабжение). Выполняются работы по созданию инженерной инфраструктуры промышленной площадки.</w:t>
      </w:r>
    </w:p>
    <w:p w14:paraId="6A39AF1D"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bookmarkStart w:id="1" w:name="_Hlk170811329"/>
      <w:r w:rsidRPr="00294153">
        <w:rPr>
          <w:rFonts w:ascii="Times New Roman" w:hAnsi="Times New Roman" w:cs="Times New Roman"/>
          <w:iCs/>
          <w:sz w:val="28"/>
          <w:szCs w:val="28"/>
        </w:rPr>
        <w:t xml:space="preserve">Объявлены конкурсные процедуры для определения исполнителя на выполнение работ по созданию инженерной инфраструктуры промышленной площадки в городском округе Когалым Ханты-Мансийского автономного округа – Югры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Создание и развитие промышленной площадки в Когалыме. Инженерно-техническое обеспечение промышленной площадки (2 этап)</w:t>
      </w:r>
      <w:r w:rsidR="00B01627" w:rsidRPr="00294153">
        <w:rPr>
          <w:rFonts w:ascii="Times New Roman" w:hAnsi="Times New Roman" w:cs="Times New Roman"/>
          <w:iCs/>
          <w:sz w:val="28"/>
          <w:szCs w:val="28"/>
        </w:rPr>
        <w:t>»</w:t>
      </w:r>
    </w:p>
    <w:bookmarkEnd w:id="1"/>
    <w:p w14:paraId="41FFD20A" w14:textId="77777777" w:rsidR="00210088" w:rsidRPr="00294153" w:rsidRDefault="00210088"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На постоянной основе осуществляется взаимодействие с потенциальными резидентами парка. Заключено соглашение о совместной реализации проекта</w:t>
      </w:r>
      <w:r w:rsidRPr="00294153">
        <w:rPr>
          <w:rFonts w:ascii="Times New Roman" w:hAnsi="Times New Roman" w:cs="Times New Roman"/>
          <w:sz w:val="28"/>
          <w:szCs w:val="28"/>
        </w:rPr>
        <w:t xml:space="preserve">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Комплекс по производству гибких полимерных армированных труб (ГПАТ)</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с ООО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Когалымский завод полимерных труб</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ООО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МАКИСМА Дриллинг Когалым</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осуществлен запуск производства</w:t>
      </w:r>
      <w:r w:rsidRPr="00294153">
        <w:rPr>
          <w:rFonts w:ascii="Times New Roman" w:hAnsi="Times New Roman" w:cs="Times New Roman"/>
          <w:sz w:val="28"/>
          <w:szCs w:val="28"/>
        </w:rPr>
        <w:t xml:space="preserve"> </w:t>
      </w:r>
      <w:r w:rsidRPr="00294153">
        <w:rPr>
          <w:rFonts w:ascii="Times New Roman" w:hAnsi="Times New Roman" w:cs="Times New Roman"/>
          <w:iCs/>
          <w:sz w:val="28"/>
          <w:szCs w:val="28"/>
        </w:rPr>
        <w:t>полимерных низкофрикционных центраторов на территории промышленной площадки.</w:t>
      </w:r>
    </w:p>
    <w:p w14:paraId="0E298FB2" w14:textId="77777777" w:rsidR="00E36E56" w:rsidRPr="00294153" w:rsidRDefault="00E36E56" w:rsidP="006D2E52">
      <w:pPr>
        <w:tabs>
          <w:tab w:val="left" w:pos="426"/>
          <w:tab w:val="left" w:pos="1134"/>
        </w:tabs>
        <w:spacing w:after="0" w:line="360" w:lineRule="auto"/>
        <w:ind w:firstLine="709"/>
        <w:contextualSpacing/>
        <w:jc w:val="both"/>
        <w:rPr>
          <w:rFonts w:ascii="Times New Roman" w:hAnsi="Times New Roman"/>
          <w:b/>
          <w:sz w:val="28"/>
          <w:szCs w:val="28"/>
        </w:rPr>
      </w:pPr>
      <w:r w:rsidRPr="00294153">
        <w:rPr>
          <w:rFonts w:ascii="Times New Roman" w:hAnsi="Times New Roman"/>
          <w:b/>
          <w:sz w:val="28"/>
          <w:szCs w:val="28"/>
        </w:rPr>
        <w:t>Арктическая зона</w:t>
      </w:r>
    </w:p>
    <w:p w14:paraId="6B7A4CC5" w14:textId="77777777" w:rsidR="00E36E56" w:rsidRPr="00294153" w:rsidRDefault="00E36E56" w:rsidP="006D2E52">
      <w:pPr>
        <w:pStyle w:val="ad"/>
        <w:spacing w:before="0" w:beforeAutospacing="0" w:after="0" w:afterAutospacing="0" w:line="360" w:lineRule="auto"/>
        <w:ind w:firstLine="708"/>
        <w:jc w:val="both"/>
        <w:rPr>
          <w:sz w:val="28"/>
          <w:szCs w:val="28"/>
        </w:rPr>
      </w:pPr>
      <w:r w:rsidRPr="00294153">
        <w:rPr>
          <w:rFonts w:eastAsiaTheme="minorHAnsi"/>
          <w:iCs/>
          <w:sz w:val="28"/>
          <w:szCs w:val="28"/>
          <w:lang w:eastAsia="en-US"/>
        </w:rPr>
        <w:t xml:space="preserve">В соответствии с Федеральным законом от 23.03.2024 № 56-ФЗ </w:t>
      </w:r>
      <w:r w:rsidR="006D2E52" w:rsidRPr="00294153">
        <w:rPr>
          <w:rFonts w:eastAsiaTheme="minorHAnsi"/>
          <w:iCs/>
          <w:sz w:val="28"/>
          <w:szCs w:val="28"/>
          <w:lang w:eastAsia="en-US"/>
        </w:rPr>
        <w:br/>
      </w:r>
      <w:r w:rsidR="00B01627" w:rsidRPr="00294153">
        <w:rPr>
          <w:rFonts w:eastAsiaTheme="minorHAnsi"/>
          <w:iCs/>
          <w:sz w:val="28"/>
          <w:szCs w:val="28"/>
          <w:lang w:eastAsia="en-US"/>
        </w:rPr>
        <w:t>«</w:t>
      </w:r>
      <w:r w:rsidR="006D2E52" w:rsidRPr="00294153">
        <w:rPr>
          <w:rFonts w:eastAsiaTheme="minorHAnsi"/>
          <w:iCs/>
          <w:sz w:val="28"/>
          <w:szCs w:val="28"/>
          <w:lang w:eastAsia="en-US"/>
        </w:rPr>
        <w:t xml:space="preserve">О внесении изменений в статью 7.1 Федерального закона </w:t>
      </w:r>
      <w:r w:rsidR="00B01627" w:rsidRPr="00294153">
        <w:rPr>
          <w:rFonts w:eastAsiaTheme="minorHAnsi"/>
          <w:iCs/>
          <w:sz w:val="28"/>
          <w:szCs w:val="28"/>
          <w:lang w:eastAsia="en-US"/>
        </w:rPr>
        <w:t>«</w:t>
      </w:r>
      <w:r w:rsidR="006D2E52" w:rsidRPr="00294153">
        <w:rPr>
          <w:rFonts w:eastAsiaTheme="minorHAnsi"/>
          <w:iCs/>
          <w:sz w:val="28"/>
          <w:szCs w:val="28"/>
          <w:lang w:eastAsia="en-US"/>
        </w:rPr>
        <w:t>Об Особой экономической зоне в Магаданской области и на территориях Южно-Курильского, Курильского и Северо-Курильского городских округов Сахалинской области</w:t>
      </w:r>
      <w:r w:rsidR="00B01627" w:rsidRPr="00294153">
        <w:rPr>
          <w:rFonts w:eastAsiaTheme="minorHAnsi"/>
          <w:iCs/>
          <w:sz w:val="28"/>
          <w:szCs w:val="28"/>
          <w:lang w:eastAsia="en-US"/>
        </w:rPr>
        <w:t>»</w:t>
      </w:r>
      <w:r w:rsidR="006D2E52" w:rsidRPr="00294153">
        <w:rPr>
          <w:rFonts w:eastAsiaTheme="minorHAnsi"/>
          <w:iCs/>
          <w:sz w:val="28"/>
          <w:szCs w:val="28"/>
          <w:lang w:eastAsia="en-US"/>
        </w:rPr>
        <w:t xml:space="preserve"> и статью 2 Федерального закона </w:t>
      </w:r>
      <w:r w:rsidR="00B01627" w:rsidRPr="00294153">
        <w:rPr>
          <w:rFonts w:eastAsiaTheme="minorHAnsi"/>
          <w:iCs/>
          <w:sz w:val="28"/>
          <w:szCs w:val="28"/>
          <w:lang w:eastAsia="en-US"/>
        </w:rPr>
        <w:t>«</w:t>
      </w:r>
      <w:r w:rsidR="006D2E52" w:rsidRPr="00294153">
        <w:rPr>
          <w:rFonts w:eastAsiaTheme="minorHAnsi"/>
          <w:iCs/>
          <w:sz w:val="28"/>
          <w:szCs w:val="28"/>
          <w:lang w:eastAsia="en-US"/>
        </w:rPr>
        <w:t>О государственной поддержке предпринимательской деятельности в Арктической зоне Российской Федерации</w:t>
      </w:r>
      <w:r w:rsidR="00B01627" w:rsidRPr="00294153">
        <w:rPr>
          <w:rFonts w:eastAsiaTheme="minorHAnsi"/>
          <w:iCs/>
          <w:sz w:val="28"/>
          <w:szCs w:val="28"/>
          <w:lang w:eastAsia="en-US"/>
        </w:rPr>
        <w:t>»</w:t>
      </w:r>
      <w:r w:rsidR="006D2E52" w:rsidRPr="00294153">
        <w:rPr>
          <w:rFonts w:eastAsiaTheme="minorHAnsi"/>
          <w:iCs/>
          <w:sz w:val="28"/>
          <w:szCs w:val="28"/>
          <w:lang w:eastAsia="en-US"/>
        </w:rPr>
        <w:t xml:space="preserve"> </w:t>
      </w:r>
      <w:r w:rsidRPr="00294153">
        <w:rPr>
          <w:sz w:val="28"/>
          <w:szCs w:val="28"/>
        </w:rPr>
        <w:t xml:space="preserve">Березовский и Белоярский районы </w:t>
      </w:r>
      <w:r w:rsidR="006D2E52" w:rsidRPr="00294153">
        <w:rPr>
          <w:sz w:val="28"/>
          <w:szCs w:val="28"/>
        </w:rPr>
        <w:br/>
      </w:r>
      <w:r w:rsidRPr="00294153">
        <w:rPr>
          <w:sz w:val="28"/>
          <w:szCs w:val="28"/>
        </w:rPr>
        <w:t xml:space="preserve">Ханты-Мансийского автономного округа </w:t>
      </w:r>
      <w:r w:rsidR="006D2E52" w:rsidRPr="00294153">
        <w:rPr>
          <w:sz w:val="28"/>
          <w:szCs w:val="28"/>
        </w:rPr>
        <w:t>–</w:t>
      </w:r>
      <w:r w:rsidRPr="00294153">
        <w:rPr>
          <w:sz w:val="28"/>
          <w:szCs w:val="28"/>
        </w:rPr>
        <w:t xml:space="preserve"> Югры</w:t>
      </w:r>
      <w:r w:rsidR="006D2E52" w:rsidRPr="00294153">
        <w:rPr>
          <w:sz w:val="28"/>
          <w:szCs w:val="28"/>
        </w:rPr>
        <w:t xml:space="preserve"> </w:t>
      </w:r>
      <w:r w:rsidRPr="00294153">
        <w:rPr>
          <w:sz w:val="28"/>
          <w:szCs w:val="28"/>
        </w:rPr>
        <w:t>включены в состав арктической зоны Российской Федерации.</w:t>
      </w:r>
    </w:p>
    <w:p w14:paraId="4DE008BE" w14:textId="298F9D74" w:rsidR="00E36E56" w:rsidRPr="00294153" w:rsidRDefault="006350B7" w:rsidP="00E36E56">
      <w:pPr>
        <w:tabs>
          <w:tab w:val="left" w:pos="426"/>
          <w:tab w:val="left" w:pos="1134"/>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Принято р</w:t>
      </w:r>
      <w:r w:rsidR="00E36E56" w:rsidRPr="00294153">
        <w:rPr>
          <w:rFonts w:ascii="Times New Roman" w:hAnsi="Times New Roman"/>
          <w:sz w:val="28"/>
          <w:szCs w:val="28"/>
        </w:rPr>
        <w:t xml:space="preserve">аспоряжение Правительства автономного округа № 272-рп </w:t>
      </w:r>
      <w:r w:rsidR="006D2E52" w:rsidRPr="00294153">
        <w:rPr>
          <w:rFonts w:ascii="Times New Roman" w:hAnsi="Times New Roman"/>
          <w:sz w:val="28"/>
          <w:szCs w:val="28"/>
        </w:rPr>
        <w:br/>
      </w:r>
      <w:r w:rsidR="00E36E56" w:rsidRPr="00294153">
        <w:rPr>
          <w:rFonts w:ascii="Times New Roman" w:hAnsi="Times New Roman"/>
          <w:sz w:val="28"/>
          <w:szCs w:val="28"/>
        </w:rPr>
        <w:t xml:space="preserve">от 08.06.2024 </w:t>
      </w:r>
      <w:r w:rsidR="00B01627" w:rsidRPr="00294153">
        <w:rPr>
          <w:rFonts w:ascii="Times New Roman" w:hAnsi="Times New Roman"/>
          <w:sz w:val="28"/>
          <w:szCs w:val="28"/>
        </w:rPr>
        <w:t>«</w:t>
      </w:r>
      <w:r w:rsidR="00E36E56" w:rsidRPr="00294153">
        <w:rPr>
          <w:rFonts w:ascii="Times New Roman" w:hAnsi="Times New Roman"/>
          <w:sz w:val="28"/>
          <w:szCs w:val="28"/>
        </w:rPr>
        <w:t xml:space="preserve">О Соглашении между Министерством РФ по развитию Дальнего Востока и Арктики и Правительством Ханты-Мансийского </w:t>
      </w:r>
      <w:r w:rsidR="00E36E56" w:rsidRPr="00294153">
        <w:rPr>
          <w:rFonts w:ascii="Times New Roman" w:hAnsi="Times New Roman"/>
          <w:sz w:val="28"/>
          <w:szCs w:val="28"/>
        </w:rPr>
        <w:lastRenderedPageBreak/>
        <w:t xml:space="preserve">автономного округа </w:t>
      </w:r>
      <w:r w:rsidR="006D2E52" w:rsidRPr="00294153">
        <w:rPr>
          <w:rFonts w:ascii="Times New Roman" w:hAnsi="Times New Roman"/>
          <w:sz w:val="28"/>
          <w:szCs w:val="28"/>
        </w:rPr>
        <w:t>–</w:t>
      </w:r>
      <w:r w:rsidR="00E36E56" w:rsidRPr="00294153">
        <w:rPr>
          <w:rFonts w:ascii="Times New Roman" w:hAnsi="Times New Roman"/>
          <w:sz w:val="28"/>
          <w:szCs w:val="28"/>
        </w:rPr>
        <w:t xml:space="preserve"> Югры о передаче функций управляющей компании Фонду развития Ханты-Мансийского автономного округа – Югры</w:t>
      </w:r>
      <w:r w:rsidR="00B01627" w:rsidRPr="00294153">
        <w:rPr>
          <w:rFonts w:ascii="Times New Roman" w:hAnsi="Times New Roman"/>
          <w:sz w:val="28"/>
          <w:szCs w:val="28"/>
        </w:rPr>
        <w:t>»</w:t>
      </w:r>
      <w:r w:rsidR="00E36E56" w:rsidRPr="00294153">
        <w:rPr>
          <w:rFonts w:ascii="Times New Roman" w:hAnsi="Times New Roman"/>
          <w:sz w:val="28"/>
          <w:szCs w:val="28"/>
        </w:rPr>
        <w:t xml:space="preserve">. </w:t>
      </w:r>
    </w:p>
    <w:p w14:paraId="26BC3F83" w14:textId="77777777" w:rsidR="00E36E56" w:rsidRPr="00294153" w:rsidRDefault="00E36E56" w:rsidP="00E36E56">
      <w:pPr>
        <w:tabs>
          <w:tab w:val="left" w:pos="426"/>
          <w:tab w:val="left" w:pos="1134"/>
        </w:tabs>
        <w:spacing w:after="0" w:line="360" w:lineRule="auto"/>
        <w:ind w:firstLine="709"/>
        <w:contextualSpacing/>
        <w:jc w:val="both"/>
        <w:rPr>
          <w:rFonts w:ascii="Times New Roman" w:hAnsi="Times New Roman"/>
          <w:sz w:val="28"/>
          <w:szCs w:val="28"/>
        </w:rPr>
      </w:pPr>
      <w:r w:rsidRPr="00294153">
        <w:rPr>
          <w:rFonts w:ascii="Times New Roman" w:hAnsi="Times New Roman"/>
          <w:sz w:val="28"/>
          <w:szCs w:val="28"/>
        </w:rPr>
        <w:t xml:space="preserve">Заключено Соглашение между Министерством РФ по развитию Дальнего Востока и Арктики и Правительством автономного округа о передаче функций управляющей компании Фонду развития Югры </w:t>
      </w:r>
      <w:r w:rsidR="006D2E52" w:rsidRPr="00294153">
        <w:rPr>
          <w:rFonts w:ascii="Times New Roman" w:hAnsi="Times New Roman"/>
          <w:sz w:val="28"/>
          <w:szCs w:val="28"/>
        </w:rPr>
        <w:br/>
      </w:r>
      <w:r w:rsidRPr="00294153">
        <w:rPr>
          <w:rFonts w:ascii="Times New Roman" w:hAnsi="Times New Roman"/>
          <w:sz w:val="28"/>
          <w:szCs w:val="28"/>
        </w:rPr>
        <w:t>№ АЧ-76/2024 от 15.08.2024.</w:t>
      </w:r>
    </w:p>
    <w:p w14:paraId="1EDD39F1" w14:textId="77777777" w:rsidR="00E36E56" w:rsidRPr="00294153" w:rsidRDefault="00E36E56" w:rsidP="00E36E56">
      <w:pPr>
        <w:tabs>
          <w:tab w:val="left" w:pos="426"/>
          <w:tab w:val="left" w:pos="1134"/>
        </w:tabs>
        <w:spacing w:after="0" w:line="360" w:lineRule="auto"/>
        <w:ind w:firstLine="709"/>
        <w:contextualSpacing/>
        <w:jc w:val="both"/>
        <w:rPr>
          <w:rFonts w:ascii="Times New Roman" w:hAnsi="Times New Roman"/>
          <w:sz w:val="28"/>
          <w:szCs w:val="28"/>
        </w:rPr>
      </w:pPr>
      <w:r w:rsidRPr="00294153">
        <w:rPr>
          <w:rFonts w:ascii="Times New Roman" w:hAnsi="Times New Roman"/>
          <w:sz w:val="28"/>
          <w:szCs w:val="28"/>
        </w:rPr>
        <w:t xml:space="preserve">Заключено Соглашение о порядке информационного взаимодействия и информационном обмене между АО </w:t>
      </w:r>
      <w:r w:rsidR="00B01627" w:rsidRPr="00294153">
        <w:rPr>
          <w:rFonts w:ascii="Times New Roman" w:hAnsi="Times New Roman"/>
          <w:sz w:val="28"/>
          <w:szCs w:val="28"/>
        </w:rPr>
        <w:t>«</w:t>
      </w:r>
      <w:r w:rsidRPr="00294153">
        <w:rPr>
          <w:rFonts w:ascii="Times New Roman" w:hAnsi="Times New Roman"/>
          <w:sz w:val="28"/>
          <w:szCs w:val="28"/>
        </w:rPr>
        <w:t>К</w:t>
      </w:r>
      <w:r w:rsidR="00A87D4D" w:rsidRPr="00294153">
        <w:rPr>
          <w:rFonts w:ascii="Times New Roman" w:hAnsi="Times New Roman"/>
          <w:sz w:val="28"/>
          <w:szCs w:val="28"/>
        </w:rPr>
        <w:t>орпорация развития Дальнего Востока</w:t>
      </w:r>
      <w:r w:rsidR="00B01627" w:rsidRPr="00294153">
        <w:rPr>
          <w:rFonts w:ascii="Times New Roman" w:hAnsi="Times New Roman"/>
          <w:sz w:val="28"/>
          <w:szCs w:val="28"/>
        </w:rPr>
        <w:t>»</w:t>
      </w:r>
      <w:r w:rsidRPr="00294153">
        <w:rPr>
          <w:rFonts w:ascii="Times New Roman" w:hAnsi="Times New Roman"/>
          <w:sz w:val="28"/>
          <w:szCs w:val="28"/>
        </w:rPr>
        <w:t xml:space="preserve"> </w:t>
      </w:r>
      <w:r w:rsidR="00A87D4D" w:rsidRPr="00294153">
        <w:rPr>
          <w:rFonts w:ascii="Times New Roman" w:hAnsi="Times New Roman"/>
          <w:i/>
          <w:iCs/>
          <w:sz w:val="28"/>
          <w:szCs w:val="28"/>
        </w:rPr>
        <w:t>(управляющая компания федерального уровня, далее – АО «КРДВ»)</w:t>
      </w:r>
      <w:r w:rsidR="00A87D4D" w:rsidRPr="00294153">
        <w:rPr>
          <w:rFonts w:ascii="Times New Roman" w:hAnsi="Times New Roman"/>
          <w:sz w:val="28"/>
          <w:szCs w:val="28"/>
        </w:rPr>
        <w:t xml:space="preserve"> </w:t>
      </w:r>
      <w:r w:rsidRPr="00294153">
        <w:rPr>
          <w:rFonts w:ascii="Times New Roman" w:hAnsi="Times New Roman"/>
          <w:sz w:val="28"/>
          <w:szCs w:val="28"/>
        </w:rPr>
        <w:t>и Фондом развития Югры №</w:t>
      </w:r>
      <w:r w:rsidR="006D2E52" w:rsidRPr="00294153">
        <w:rPr>
          <w:rFonts w:ascii="Times New Roman" w:hAnsi="Times New Roman"/>
          <w:sz w:val="28"/>
          <w:szCs w:val="28"/>
        </w:rPr>
        <w:t xml:space="preserve"> </w:t>
      </w:r>
      <w:r w:rsidRPr="00294153">
        <w:rPr>
          <w:rFonts w:ascii="Times New Roman" w:hAnsi="Times New Roman"/>
          <w:sz w:val="28"/>
          <w:szCs w:val="28"/>
        </w:rPr>
        <w:t>765/24 от 09.10.</w:t>
      </w:r>
      <w:r w:rsidR="00A87D4D" w:rsidRPr="00294153">
        <w:rPr>
          <w:rFonts w:ascii="Times New Roman" w:hAnsi="Times New Roman"/>
          <w:sz w:val="28"/>
          <w:szCs w:val="28"/>
        </w:rPr>
        <w:t>20</w:t>
      </w:r>
      <w:r w:rsidRPr="00294153">
        <w:rPr>
          <w:rFonts w:ascii="Times New Roman" w:hAnsi="Times New Roman"/>
          <w:sz w:val="28"/>
          <w:szCs w:val="28"/>
        </w:rPr>
        <w:t xml:space="preserve">24. На постоянной основе </w:t>
      </w:r>
      <w:r w:rsidR="00A87D4D" w:rsidRPr="00294153">
        <w:rPr>
          <w:rFonts w:ascii="Times New Roman" w:hAnsi="Times New Roman"/>
          <w:sz w:val="28"/>
          <w:szCs w:val="28"/>
        </w:rPr>
        <w:t>Фондом осуществляется</w:t>
      </w:r>
      <w:r w:rsidRPr="00294153">
        <w:rPr>
          <w:rFonts w:ascii="Times New Roman" w:hAnsi="Times New Roman"/>
          <w:sz w:val="28"/>
          <w:szCs w:val="28"/>
        </w:rPr>
        <w:t xml:space="preserve"> информационно-консультационное содействие инвесторам в навигации по новым преференциям, порядке получения статуса резидента Арктической зоны, а также порядке подготовки документов для подачи заявки на заключение соглашения об осуществлении инвестиционной деятельности в Арктической зоне.  </w:t>
      </w:r>
    </w:p>
    <w:p w14:paraId="2804929E" w14:textId="77777777" w:rsidR="00E36E56" w:rsidRPr="00294153" w:rsidRDefault="00E36E56" w:rsidP="00E36E56">
      <w:pPr>
        <w:tabs>
          <w:tab w:val="left" w:pos="709"/>
        </w:tabs>
        <w:spacing w:after="0" w:line="360" w:lineRule="auto"/>
        <w:jc w:val="both"/>
        <w:rPr>
          <w:rFonts w:ascii="Times New Roman" w:hAnsi="Times New Roman" w:cs="Times New Roman"/>
          <w:sz w:val="28"/>
          <w:szCs w:val="28"/>
        </w:rPr>
      </w:pPr>
      <w:r w:rsidRPr="00294153">
        <w:rPr>
          <w:rFonts w:ascii="Times New Roman" w:hAnsi="Times New Roman"/>
          <w:sz w:val="28"/>
          <w:szCs w:val="28"/>
        </w:rPr>
        <w:tab/>
      </w:r>
      <w:r w:rsidR="00A87D4D" w:rsidRPr="00294153">
        <w:rPr>
          <w:rFonts w:ascii="Times New Roman" w:hAnsi="Times New Roman"/>
          <w:sz w:val="28"/>
          <w:szCs w:val="28"/>
        </w:rPr>
        <w:t>В 2024 году АО «КРДВ»</w:t>
      </w:r>
      <w:r w:rsidR="00A87D4D" w:rsidRPr="00294153">
        <w:rPr>
          <w:rFonts w:ascii="Times New Roman" w:hAnsi="Times New Roman"/>
          <w:i/>
          <w:iCs/>
          <w:sz w:val="28"/>
          <w:szCs w:val="28"/>
        </w:rPr>
        <w:t xml:space="preserve"> </w:t>
      </w:r>
      <w:r w:rsidR="00A87D4D" w:rsidRPr="00294153">
        <w:rPr>
          <w:rFonts w:ascii="Times New Roman" w:hAnsi="Times New Roman"/>
          <w:sz w:val="28"/>
          <w:szCs w:val="28"/>
        </w:rPr>
        <w:t>з</w:t>
      </w:r>
      <w:r w:rsidRPr="00294153">
        <w:rPr>
          <w:rFonts w:ascii="Times New Roman" w:hAnsi="Times New Roman"/>
          <w:sz w:val="28"/>
          <w:szCs w:val="28"/>
        </w:rPr>
        <w:t xml:space="preserve">аключены соглашения об осуществлении инвестиционной деятельности в Арктической зоне РФ </w:t>
      </w:r>
      <w:r w:rsidR="00A87D4D" w:rsidRPr="00294153">
        <w:rPr>
          <w:rFonts w:ascii="Times New Roman" w:hAnsi="Times New Roman"/>
          <w:sz w:val="28"/>
          <w:szCs w:val="28"/>
        </w:rPr>
        <w:t xml:space="preserve">на территории автономного округа </w:t>
      </w:r>
      <w:r w:rsidRPr="00294153">
        <w:rPr>
          <w:rFonts w:ascii="Times New Roman" w:hAnsi="Times New Roman"/>
          <w:sz w:val="28"/>
          <w:szCs w:val="28"/>
        </w:rPr>
        <w:t xml:space="preserve">с 4 резидентами: ООО </w:t>
      </w:r>
      <w:r w:rsidR="00B01627" w:rsidRPr="00294153">
        <w:rPr>
          <w:rFonts w:ascii="Times New Roman" w:hAnsi="Times New Roman"/>
          <w:sz w:val="28"/>
          <w:szCs w:val="28"/>
        </w:rPr>
        <w:t>«</w:t>
      </w:r>
      <w:r w:rsidRPr="00294153">
        <w:rPr>
          <w:rFonts w:ascii="Times New Roman" w:hAnsi="Times New Roman"/>
          <w:sz w:val="28"/>
          <w:szCs w:val="28"/>
        </w:rPr>
        <w:t>БелоярскНефтеСервис</w:t>
      </w:r>
      <w:r w:rsidR="00B01627" w:rsidRPr="00294153">
        <w:rPr>
          <w:rFonts w:ascii="Times New Roman" w:hAnsi="Times New Roman"/>
          <w:sz w:val="28"/>
          <w:szCs w:val="28"/>
        </w:rPr>
        <w:t>»</w:t>
      </w:r>
      <w:r w:rsidRPr="00294153">
        <w:rPr>
          <w:rFonts w:ascii="Times New Roman" w:hAnsi="Times New Roman"/>
          <w:sz w:val="28"/>
          <w:szCs w:val="28"/>
        </w:rPr>
        <w:t xml:space="preserve">, ООО </w:t>
      </w:r>
      <w:r w:rsidR="00B01627" w:rsidRPr="00294153">
        <w:rPr>
          <w:rFonts w:ascii="Times New Roman" w:hAnsi="Times New Roman"/>
          <w:sz w:val="28"/>
          <w:szCs w:val="28"/>
        </w:rPr>
        <w:t>«</w:t>
      </w:r>
      <w:r w:rsidRPr="00294153">
        <w:rPr>
          <w:rFonts w:ascii="Times New Roman" w:hAnsi="Times New Roman"/>
          <w:sz w:val="28"/>
          <w:szCs w:val="28"/>
        </w:rPr>
        <w:t>Специализированный застройщик Дивес Девеломпент</w:t>
      </w:r>
      <w:r w:rsidR="00B01627" w:rsidRPr="00294153">
        <w:rPr>
          <w:rFonts w:ascii="Times New Roman" w:hAnsi="Times New Roman"/>
          <w:sz w:val="28"/>
          <w:szCs w:val="28"/>
        </w:rPr>
        <w:t>»</w:t>
      </w:r>
      <w:r w:rsidRPr="00294153">
        <w:rPr>
          <w:rFonts w:ascii="Times New Roman" w:hAnsi="Times New Roman"/>
          <w:sz w:val="28"/>
          <w:szCs w:val="28"/>
        </w:rPr>
        <w:t xml:space="preserve">, ООО </w:t>
      </w:r>
      <w:r w:rsidR="00B01627" w:rsidRPr="00294153">
        <w:rPr>
          <w:rFonts w:ascii="Times New Roman" w:hAnsi="Times New Roman"/>
          <w:sz w:val="28"/>
          <w:szCs w:val="28"/>
        </w:rPr>
        <w:t>«</w:t>
      </w:r>
      <w:r w:rsidRPr="00294153">
        <w:rPr>
          <w:rFonts w:ascii="Times New Roman" w:hAnsi="Times New Roman"/>
          <w:sz w:val="28"/>
          <w:szCs w:val="28"/>
        </w:rPr>
        <w:t>СЕВЕРОВ</w:t>
      </w:r>
      <w:r w:rsidR="00B01627" w:rsidRPr="00294153">
        <w:rPr>
          <w:rFonts w:ascii="Times New Roman" w:hAnsi="Times New Roman"/>
          <w:sz w:val="28"/>
          <w:szCs w:val="28"/>
        </w:rPr>
        <w:t>»</w:t>
      </w:r>
      <w:r w:rsidRPr="00294153">
        <w:rPr>
          <w:rFonts w:ascii="Times New Roman" w:hAnsi="Times New Roman"/>
          <w:sz w:val="28"/>
          <w:szCs w:val="28"/>
        </w:rPr>
        <w:t xml:space="preserve">, ООО </w:t>
      </w:r>
      <w:r w:rsidR="00B01627" w:rsidRPr="00294153">
        <w:rPr>
          <w:rFonts w:ascii="Times New Roman" w:hAnsi="Times New Roman"/>
          <w:sz w:val="28"/>
          <w:szCs w:val="28"/>
        </w:rPr>
        <w:t>«</w:t>
      </w:r>
      <w:r w:rsidRPr="00294153">
        <w:rPr>
          <w:rFonts w:ascii="Times New Roman" w:hAnsi="Times New Roman"/>
          <w:sz w:val="28"/>
          <w:szCs w:val="28"/>
        </w:rPr>
        <w:t>ГК Арктика</w:t>
      </w:r>
      <w:r w:rsidR="00B01627" w:rsidRPr="00294153">
        <w:rPr>
          <w:rFonts w:ascii="Times New Roman" w:hAnsi="Times New Roman"/>
          <w:sz w:val="28"/>
          <w:szCs w:val="28"/>
        </w:rPr>
        <w:t>»</w:t>
      </w:r>
      <w:r w:rsidRPr="00294153">
        <w:rPr>
          <w:rFonts w:ascii="Times New Roman" w:hAnsi="Times New Roman"/>
          <w:sz w:val="28"/>
          <w:szCs w:val="28"/>
        </w:rPr>
        <w:t>.</w:t>
      </w:r>
      <w:r w:rsidRPr="00294153">
        <w:rPr>
          <w:rFonts w:ascii="Times New Roman" w:hAnsi="Times New Roman" w:cs="Times New Roman"/>
          <w:sz w:val="28"/>
          <w:szCs w:val="28"/>
        </w:rPr>
        <w:tab/>
        <w:t xml:space="preserve"> </w:t>
      </w:r>
    </w:p>
    <w:p w14:paraId="5279767D" w14:textId="77777777" w:rsidR="00E36E56" w:rsidRPr="00294153" w:rsidRDefault="00E36E56" w:rsidP="00210088">
      <w:pPr>
        <w:spacing w:after="0" w:line="360" w:lineRule="auto"/>
        <w:ind w:firstLine="709"/>
        <w:jc w:val="both"/>
        <w:rPr>
          <w:rFonts w:ascii="Times New Roman" w:hAnsi="Times New Roman" w:cs="Times New Roman"/>
          <w:iCs/>
          <w:sz w:val="28"/>
          <w:szCs w:val="28"/>
          <w:u w:val="single"/>
        </w:rPr>
      </w:pPr>
      <w:r w:rsidRPr="00294153">
        <w:rPr>
          <w:rFonts w:ascii="Times New Roman" w:hAnsi="Times New Roman" w:cs="Times New Roman"/>
          <w:iCs/>
          <w:sz w:val="28"/>
          <w:szCs w:val="28"/>
          <w:u w:val="single"/>
        </w:rPr>
        <w:t>Региональный инвестиционный стандарт</w:t>
      </w:r>
    </w:p>
    <w:p w14:paraId="18C37101" w14:textId="7813CBAF" w:rsidR="00E36E56" w:rsidRPr="00294153" w:rsidRDefault="00E36E56" w:rsidP="00210088">
      <w:pPr>
        <w:spacing w:after="0" w:line="360" w:lineRule="auto"/>
        <w:ind w:firstLine="709"/>
        <w:jc w:val="both"/>
        <w:rPr>
          <w:rFonts w:ascii="Times New Roman" w:hAnsi="Times New Roman" w:cs="Times New Roman"/>
          <w:iCs/>
          <w:sz w:val="28"/>
          <w:szCs w:val="28"/>
        </w:rPr>
      </w:pPr>
      <w:r w:rsidRPr="00294153">
        <w:rPr>
          <w:rFonts w:ascii="Times New Roman" w:hAnsi="Times New Roman" w:cs="Times New Roman"/>
          <w:iCs/>
          <w:sz w:val="28"/>
          <w:szCs w:val="28"/>
        </w:rPr>
        <w:t xml:space="preserve">На постоянной основе осуществляется сопровождение информационного ресурса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Инвестиционная карта автономного округа</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xml:space="preserve">, проводится актуализация размещаемых сведений об инвестиционных площадках, инфраструктурном обеспечении региона, инвестиционных предложениях, информация о преференциальных режимах и мерах поддержки инвесторов. Проводится обновление сведений об инвестиционном климате автономного округа на информационном портале </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Инвестиционный портал автономного округа</w:t>
      </w:r>
      <w:r w:rsidR="00B01627" w:rsidRPr="00294153">
        <w:rPr>
          <w:rFonts w:ascii="Times New Roman" w:hAnsi="Times New Roman" w:cs="Times New Roman"/>
          <w:iCs/>
          <w:sz w:val="28"/>
          <w:szCs w:val="28"/>
        </w:rPr>
        <w:t>»</w:t>
      </w:r>
      <w:r w:rsidRPr="00294153">
        <w:rPr>
          <w:rFonts w:ascii="Times New Roman" w:hAnsi="Times New Roman" w:cs="Times New Roman"/>
          <w:iCs/>
          <w:sz w:val="28"/>
          <w:szCs w:val="28"/>
        </w:rPr>
        <w:t>. Разрабатываются инвестиционны</w:t>
      </w:r>
      <w:r w:rsidR="006350B7">
        <w:rPr>
          <w:rFonts w:ascii="Times New Roman" w:hAnsi="Times New Roman" w:cs="Times New Roman"/>
          <w:iCs/>
          <w:sz w:val="28"/>
          <w:szCs w:val="28"/>
        </w:rPr>
        <w:t>е предложения в соответствии с п</w:t>
      </w:r>
      <w:r w:rsidRPr="00294153">
        <w:rPr>
          <w:rFonts w:ascii="Times New Roman" w:hAnsi="Times New Roman" w:cs="Times New Roman"/>
          <w:iCs/>
          <w:sz w:val="28"/>
          <w:szCs w:val="28"/>
        </w:rPr>
        <w:t>риказом Минэкономразвития № 591 от 30.09.2021 г.</w:t>
      </w:r>
    </w:p>
    <w:p w14:paraId="1CD2F3CE" w14:textId="77777777" w:rsidR="00224B8C" w:rsidRPr="00294153" w:rsidRDefault="00224B8C" w:rsidP="003F6AE7">
      <w:pPr>
        <w:tabs>
          <w:tab w:val="left" w:pos="993"/>
          <w:tab w:val="left" w:pos="1134"/>
          <w:tab w:val="left" w:pos="1418"/>
        </w:tabs>
        <w:spacing w:after="0" w:line="360" w:lineRule="auto"/>
        <w:ind w:firstLine="709"/>
        <w:contextualSpacing/>
        <w:jc w:val="both"/>
        <w:rPr>
          <w:rFonts w:ascii="Times New Roman" w:hAnsi="Times New Roman" w:cs="Times New Roman"/>
          <w:b/>
          <w:sz w:val="28"/>
          <w:szCs w:val="28"/>
        </w:rPr>
      </w:pPr>
      <w:r w:rsidRPr="00294153">
        <w:rPr>
          <w:rFonts w:ascii="Times New Roman" w:hAnsi="Times New Roman" w:cs="Times New Roman"/>
          <w:b/>
          <w:sz w:val="28"/>
          <w:szCs w:val="28"/>
        </w:rPr>
        <w:lastRenderedPageBreak/>
        <w:t>Региональный фонд развития промышленности.</w:t>
      </w:r>
    </w:p>
    <w:p w14:paraId="63DFE167" w14:textId="77777777" w:rsidR="00D562C9" w:rsidRPr="00294153" w:rsidRDefault="006F55F1" w:rsidP="00D562C9">
      <w:pPr>
        <w:tabs>
          <w:tab w:val="left" w:pos="426"/>
          <w:tab w:val="left" w:pos="1134"/>
        </w:tabs>
        <w:spacing w:line="360" w:lineRule="auto"/>
        <w:ind w:firstLine="709"/>
        <w:contextualSpacing/>
        <w:jc w:val="both"/>
        <w:rPr>
          <w:rFonts w:ascii="Times New Roman" w:eastAsia="Calibri" w:hAnsi="Times New Roman" w:cs="Times New Roman"/>
          <w:sz w:val="28"/>
          <w:szCs w:val="28"/>
        </w:rPr>
      </w:pPr>
      <w:bookmarkStart w:id="2" w:name="_Hlk97110042"/>
      <w:r w:rsidRPr="00294153">
        <w:rPr>
          <w:rFonts w:ascii="Times New Roman" w:eastAsia="Calibri" w:hAnsi="Times New Roman" w:cs="Times New Roman"/>
          <w:sz w:val="28"/>
          <w:szCs w:val="28"/>
        </w:rPr>
        <w:t>По итогам 202</w:t>
      </w:r>
      <w:r w:rsidR="00D562C9" w:rsidRPr="00294153">
        <w:rPr>
          <w:rFonts w:ascii="Times New Roman" w:eastAsia="Calibri" w:hAnsi="Times New Roman" w:cs="Times New Roman"/>
          <w:sz w:val="28"/>
          <w:szCs w:val="28"/>
        </w:rPr>
        <w:t>4</w:t>
      </w:r>
      <w:r w:rsidRPr="00294153">
        <w:rPr>
          <w:rFonts w:ascii="Times New Roman" w:eastAsia="Calibri" w:hAnsi="Times New Roman" w:cs="Times New Roman"/>
          <w:sz w:val="28"/>
          <w:szCs w:val="28"/>
        </w:rPr>
        <w:t xml:space="preserve"> </w:t>
      </w:r>
      <w:r w:rsidR="009E3ABB">
        <w:rPr>
          <w:rFonts w:ascii="Times New Roman" w:eastAsia="Calibri" w:hAnsi="Times New Roman" w:cs="Times New Roman"/>
          <w:sz w:val="28"/>
          <w:szCs w:val="28"/>
        </w:rPr>
        <w:t xml:space="preserve">года </w:t>
      </w:r>
      <w:r w:rsidRPr="00294153">
        <w:rPr>
          <w:rFonts w:ascii="Times New Roman" w:eastAsia="Calibri" w:hAnsi="Times New Roman" w:cs="Times New Roman"/>
          <w:sz w:val="28"/>
          <w:szCs w:val="28"/>
        </w:rPr>
        <w:t xml:space="preserve">заключены </w:t>
      </w:r>
      <w:r w:rsidR="00D562C9" w:rsidRPr="00294153">
        <w:rPr>
          <w:rFonts w:ascii="Times New Roman" w:eastAsia="Calibri" w:hAnsi="Times New Roman" w:cs="Times New Roman"/>
          <w:sz w:val="28"/>
          <w:szCs w:val="28"/>
        </w:rPr>
        <w:t>9</w:t>
      </w:r>
      <w:r w:rsidRPr="00294153">
        <w:rPr>
          <w:rFonts w:ascii="Times New Roman" w:eastAsia="Calibri" w:hAnsi="Times New Roman" w:cs="Times New Roman"/>
          <w:sz w:val="28"/>
          <w:szCs w:val="28"/>
        </w:rPr>
        <w:t xml:space="preserve"> договоров целевого займа на общую сумму </w:t>
      </w:r>
      <w:r w:rsidR="00D562C9" w:rsidRPr="00294153">
        <w:rPr>
          <w:rFonts w:ascii="Times New Roman" w:eastAsia="Calibri" w:hAnsi="Times New Roman" w:cs="Times New Roman"/>
          <w:sz w:val="28"/>
          <w:szCs w:val="28"/>
        </w:rPr>
        <w:t>710</w:t>
      </w:r>
      <w:r w:rsidRPr="00294153">
        <w:rPr>
          <w:rFonts w:ascii="Times New Roman" w:eastAsia="Calibri" w:hAnsi="Times New Roman" w:cs="Times New Roman"/>
          <w:sz w:val="28"/>
          <w:szCs w:val="28"/>
        </w:rPr>
        <w:t xml:space="preserve"> млн рублей. </w:t>
      </w:r>
    </w:p>
    <w:p w14:paraId="1ED715C5" w14:textId="77777777" w:rsidR="00D562C9" w:rsidRPr="00294153" w:rsidRDefault="00D562C9" w:rsidP="001820D1">
      <w:pPr>
        <w:tabs>
          <w:tab w:val="left" w:pos="426"/>
          <w:tab w:val="left" w:pos="1134"/>
        </w:tabs>
        <w:spacing w:line="360" w:lineRule="auto"/>
        <w:ind w:firstLine="709"/>
        <w:contextualSpacing/>
        <w:jc w:val="both"/>
        <w:rPr>
          <w:rFonts w:ascii="Times New Roman" w:eastAsia="Calibri" w:hAnsi="Times New Roman" w:cs="Times New Roman"/>
          <w:sz w:val="28"/>
          <w:szCs w:val="28"/>
        </w:rPr>
      </w:pPr>
      <w:r w:rsidRPr="00294153">
        <w:rPr>
          <w:rFonts w:ascii="Times New Roman" w:eastAsia="Calibri" w:hAnsi="Times New Roman" w:cs="Times New Roman"/>
          <w:sz w:val="28"/>
          <w:szCs w:val="28"/>
        </w:rPr>
        <w:t>В рамках заключенных договоров целевого займа в 2024 год</w:t>
      </w:r>
      <w:r w:rsidR="0048265B" w:rsidRPr="00294153">
        <w:rPr>
          <w:rFonts w:ascii="Times New Roman" w:eastAsia="Calibri" w:hAnsi="Times New Roman" w:cs="Times New Roman"/>
          <w:sz w:val="28"/>
          <w:szCs w:val="28"/>
        </w:rPr>
        <w:t>у</w:t>
      </w:r>
      <w:r w:rsidRPr="00294153">
        <w:rPr>
          <w:rFonts w:ascii="Times New Roman" w:eastAsia="Calibri" w:hAnsi="Times New Roman" w:cs="Times New Roman"/>
          <w:sz w:val="28"/>
          <w:szCs w:val="28"/>
        </w:rPr>
        <w:t xml:space="preserve"> предоставлены займы и транши на общую сумму около 872,4 млн. рублей</w:t>
      </w:r>
      <w:r w:rsidR="001820D1">
        <w:rPr>
          <w:rFonts w:ascii="Times New Roman" w:eastAsia="Calibri" w:hAnsi="Times New Roman" w:cs="Times New Roman"/>
          <w:sz w:val="28"/>
          <w:szCs w:val="28"/>
        </w:rPr>
        <w:t>.</w:t>
      </w:r>
      <w:r w:rsidRPr="00294153">
        <w:rPr>
          <w:rFonts w:ascii="Times New Roman" w:eastAsia="Calibri" w:hAnsi="Times New Roman" w:cs="Times New Roman"/>
          <w:sz w:val="28"/>
          <w:szCs w:val="28"/>
        </w:rPr>
        <w:t xml:space="preserve"> </w:t>
      </w:r>
    </w:p>
    <w:p w14:paraId="3C6AE8E1" w14:textId="77777777" w:rsidR="002C22DC" w:rsidRDefault="002C22DC" w:rsidP="002C22DC">
      <w:pPr>
        <w:tabs>
          <w:tab w:val="left" w:pos="426"/>
          <w:tab w:val="left" w:pos="1134"/>
        </w:tabs>
        <w:spacing w:after="0" w:line="360" w:lineRule="auto"/>
        <w:ind w:firstLine="709"/>
        <w:jc w:val="both"/>
        <w:rPr>
          <w:rFonts w:ascii="Times New Roman" w:eastAsia="Calibri" w:hAnsi="Times New Roman" w:cs="Times New Roman"/>
          <w:sz w:val="28"/>
          <w:szCs w:val="28"/>
        </w:rPr>
      </w:pPr>
      <w:r w:rsidRPr="00294153">
        <w:rPr>
          <w:rFonts w:ascii="Times New Roman" w:eastAsia="Calibri" w:hAnsi="Times New Roman" w:cs="Times New Roman"/>
          <w:sz w:val="28"/>
          <w:szCs w:val="28"/>
        </w:rPr>
        <w:t>Специалистами фонда в 2024 году было проведено более 85 консультаций предприятий округа по программам финансовой поддержки Фонда.</w:t>
      </w:r>
    </w:p>
    <w:p w14:paraId="6C74D00F" w14:textId="77777777" w:rsidR="002C22DC" w:rsidRPr="00F06B65" w:rsidRDefault="002C22DC" w:rsidP="002C22DC">
      <w:pPr>
        <w:tabs>
          <w:tab w:val="left" w:pos="426"/>
          <w:tab w:val="left" w:pos="1134"/>
        </w:tabs>
        <w:spacing w:after="0" w:line="360" w:lineRule="auto"/>
        <w:ind w:firstLine="709"/>
        <w:contextualSpacing/>
        <w:jc w:val="both"/>
        <w:rPr>
          <w:rFonts w:ascii="Times New Roman" w:hAnsi="Times New Roman" w:cs="Times New Roman"/>
          <w:sz w:val="28"/>
          <w:szCs w:val="28"/>
        </w:rPr>
      </w:pPr>
      <w:r w:rsidRPr="00294153">
        <w:rPr>
          <w:rFonts w:ascii="Times New Roman" w:hAnsi="Times New Roman" w:cs="Times New Roman"/>
          <w:sz w:val="28"/>
          <w:szCs w:val="28"/>
        </w:rPr>
        <w:t xml:space="preserve">В течение 2024 года Фондом было организовано 9 заседаний </w:t>
      </w:r>
      <w:r w:rsidRPr="00F06B65">
        <w:rPr>
          <w:rFonts w:ascii="Times New Roman" w:hAnsi="Times New Roman" w:cs="Times New Roman"/>
          <w:sz w:val="28"/>
          <w:szCs w:val="28"/>
        </w:rPr>
        <w:t>Экспертного Совета, в компетенцию которого входит принятие вопросов о предоставлении финансовых мер поддержки. Всего было рассмотрено 31 вопросов, в т.ч.: 9 – предоставление льготных займов, 5 – изменение структуры и объема обеспечений займов и сроков, 10 – реструктуризация, 7 - прочее.</w:t>
      </w:r>
    </w:p>
    <w:p w14:paraId="39CA9B2E" w14:textId="77777777" w:rsidR="00F06B65" w:rsidRPr="00F06B65" w:rsidRDefault="00F06B65" w:rsidP="00F06B65">
      <w:pPr>
        <w:shd w:val="clear" w:color="auto" w:fill="FFFFFF"/>
        <w:spacing w:after="0" w:line="360" w:lineRule="auto"/>
        <w:ind w:firstLine="709"/>
        <w:jc w:val="both"/>
        <w:rPr>
          <w:rFonts w:ascii="Times New Roman" w:hAnsi="Times New Roman"/>
          <w:sz w:val="28"/>
          <w:szCs w:val="28"/>
        </w:rPr>
      </w:pPr>
      <w:r w:rsidRPr="00F06B65">
        <w:rPr>
          <w:rFonts w:ascii="Times New Roman" w:hAnsi="Times New Roman"/>
          <w:sz w:val="28"/>
          <w:szCs w:val="28"/>
        </w:rPr>
        <w:t>В рамках мониторинга текущего финансово-экономического состояния заемщиков и поручителей в 2024 году проведено 176 экспертиз. По состоянию портфеля займов, выданных Фондом развития Югры на начало 4 квартала 2024 года, подлежит ежеквартальной оценке состояние 52 предприятий.</w:t>
      </w:r>
    </w:p>
    <w:p w14:paraId="585EC4DC" w14:textId="2CB004B6" w:rsidR="002C22DC" w:rsidRPr="00294153" w:rsidRDefault="002C22DC" w:rsidP="001820D1">
      <w:pPr>
        <w:tabs>
          <w:tab w:val="left" w:pos="426"/>
          <w:tab w:val="left" w:pos="1134"/>
        </w:tabs>
        <w:spacing w:line="360" w:lineRule="auto"/>
        <w:ind w:firstLine="709"/>
        <w:contextualSpacing/>
        <w:jc w:val="both"/>
        <w:rPr>
          <w:rFonts w:ascii="Times New Roman" w:eastAsia="Calibri" w:hAnsi="Times New Roman" w:cs="Times New Roman"/>
          <w:sz w:val="28"/>
          <w:szCs w:val="28"/>
        </w:rPr>
      </w:pPr>
      <w:r w:rsidRPr="00F06B65">
        <w:rPr>
          <w:rFonts w:ascii="Times New Roman" w:eastAsia="Calibri" w:hAnsi="Times New Roman" w:cs="Times New Roman"/>
          <w:sz w:val="28"/>
          <w:szCs w:val="28"/>
        </w:rPr>
        <w:t>В целях контроля целевого использования займов в течение</w:t>
      </w:r>
      <w:r w:rsidR="001820D1" w:rsidRPr="00F06B65">
        <w:rPr>
          <w:rFonts w:ascii="Times New Roman" w:eastAsia="Calibri" w:hAnsi="Times New Roman" w:cs="Times New Roman"/>
          <w:sz w:val="28"/>
          <w:szCs w:val="28"/>
        </w:rPr>
        <w:t xml:space="preserve"> 2024 года Фондом осуществлены </w:t>
      </w:r>
      <w:r w:rsidRPr="00F06B65">
        <w:rPr>
          <w:rFonts w:ascii="Times New Roman" w:hAnsi="Times New Roman"/>
          <w:sz w:val="28"/>
          <w:szCs w:val="28"/>
        </w:rPr>
        <w:t xml:space="preserve">выездные контрольные мероприятия на территории осуществления проектов </w:t>
      </w:r>
      <w:r w:rsidR="001820D1" w:rsidRPr="00F06B65">
        <w:rPr>
          <w:rFonts w:ascii="Times New Roman" w:hAnsi="Times New Roman"/>
          <w:sz w:val="28"/>
          <w:szCs w:val="28"/>
        </w:rPr>
        <w:t>(</w:t>
      </w:r>
      <w:r w:rsidRPr="00F06B65">
        <w:rPr>
          <w:rFonts w:ascii="Times New Roman" w:hAnsi="Times New Roman"/>
          <w:sz w:val="28"/>
          <w:szCs w:val="28"/>
        </w:rPr>
        <w:t>24 шт.</w:t>
      </w:r>
      <w:r w:rsidR="001820D1" w:rsidRPr="00F06B65">
        <w:rPr>
          <w:rFonts w:ascii="Times New Roman" w:hAnsi="Times New Roman"/>
          <w:sz w:val="28"/>
          <w:szCs w:val="28"/>
        </w:rPr>
        <w:t>).</w:t>
      </w:r>
    </w:p>
    <w:bookmarkEnd w:id="2"/>
    <w:p w14:paraId="46B31E0A" w14:textId="77777777" w:rsidR="00F60AF6" w:rsidRPr="00294153" w:rsidRDefault="00A87D4D" w:rsidP="00F60AF6">
      <w:pPr>
        <w:pStyle w:val="a3"/>
        <w:tabs>
          <w:tab w:val="left" w:pos="1134"/>
        </w:tabs>
        <w:spacing w:after="0" w:line="360" w:lineRule="auto"/>
        <w:ind w:left="0" w:firstLine="709"/>
        <w:jc w:val="both"/>
        <w:rPr>
          <w:rFonts w:ascii="Times New Roman" w:hAnsi="Times New Roman" w:cs="Times New Roman"/>
          <w:b/>
          <w:sz w:val="28"/>
          <w:szCs w:val="28"/>
        </w:rPr>
      </w:pPr>
      <w:r w:rsidRPr="00294153">
        <w:rPr>
          <w:rFonts w:ascii="Times New Roman" w:hAnsi="Times New Roman" w:cs="Times New Roman"/>
          <w:b/>
          <w:sz w:val="28"/>
          <w:szCs w:val="28"/>
        </w:rPr>
        <w:t>Ц</w:t>
      </w:r>
      <w:r w:rsidR="00F60AF6" w:rsidRPr="00294153">
        <w:rPr>
          <w:rFonts w:ascii="Times New Roman" w:hAnsi="Times New Roman" w:cs="Times New Roman"/>
          <w:b/>
          <w:sz w:val="28"/>
          <w:szCs w:val="28"/>
        </w:rPr>
        <w:t>ентр компетенции в сфере туризма.</w:t>
      </w:r>
    </w:p>
    <w:p w14:paraId="6094319C"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На 31 декабря 2024 года на Единой цифровой туристической платформе Югры размещено 522 организации-поставщика туристских услуг и услуг смежных отраслей.</w:t>
      </w:r>
    </w:p>
    <w:p w14:paraId="30400E8E"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Количественный прирост по итогам 2024 года составил:</w:t>
      </w:r>
    </w:p>
    <w:p w14:paraId="247B321B"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по пользователям личного кабинета организации 131% (141 новый пользователей),</w:t>
      </w:r>
    </w:p>
    <w:p w14:paraId="253E0B74"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по организациям 133% (107 новых организаций),</w:t>
      </w:r>
    </w:p>
    <w:p w14:paraId="584A2C38"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по объектам 121% (114 объектов),</w:t>
      </w:r>
    </w:p>
    <w:p w14:paraId="308F3A55"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lastRenderedPageBreak/>
        <w:t>- по мероприятиям 146% (417 новых мероприятий).</w:t>
      </w:r>
    </w:p>
    <w:p w14:paraId="01BDAE7E"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xml:space="preserve">В ходе модернизации добавлены новые разделы </w:t>
      </w:r>
      <w:r w:rsidR="00B01627" w:rsidRPr="00294153">
        <w:rPr>
          <w:rFonts w:ascii="Times New Roman" w:hAnsi="Times New Roman"/>
          <w:sz w:val="28"/>
          <w:szCs w:val="28"/>
        </w:rPr>
        <w:t>«</w:t>
      </w:r>
      <w:r w:rsidRPr="00294153">
        <w:rPr>
          <w:rFonts w:ascii="Times New Roman" w:hAnsi="Times New Roman"/>
          <w:sz w:val="28"/>
          <w:szCs w:val="28"/>
        </w:rPr>
        <w:t>Услуги</w:t>
      </w:r>
      <w:r w:rsidR="00B01627" w:rsidRPr="00294153">
        <w:rPr>
          <w:rFonts w:ascii="Times New Roman" w:hAnsi="Times New Roman"/>
          <w:sz w:val="28"/>
          <w:szCs w:val="28"/>
        </w:rPr>
        <w:t>»</w:t>
      </w:r>
      <w:r w:rsidRPr="00294153">
        <w:rPr>
          <w:rFonts w:ascii="Times New Roman" w:hAnsi="Times New Roman"/>
          <w:sz w:val="28"/>
          <w:szCs w:val="28"/>
        </w:rPr>
        <w:t xml:space="preserve"> (82 услуги) и </w:t>
      </w:r>
      <w:r w:rsidR="00B01627" w:rsidRPr="00294153">
        <w:rPr>
          <w:rFonts w:ascii="Times New Roman" w:hAnsi="Times New Roman"/>
          <w:sz w:val="28"/>
          <w:szCs w:val="28"/>
        </w:rPr>
        <w:t>«</w:t>
      </w:r>
      <w:r w:rsidRPr="00294153">
        <w:rPr>
          <w:rFonts w:ascii="Times New Roman" w:hAnsi="Times New Roman"/>
          <w:sz w:val="28"/>
          <w:szCs w:val="28"/>
        </w:rPr>
        <w:t>Экскурсии</w:t>
      </w:r>
      <w:r w:rsidR="00B01627" w:rsidRPr="00294153">
        <w:rPr>
          <w:rFonts w:ascii="Times New Roman" w:hAnsi="Times New Roman"/>
          <w:sz w:val="28"/>
          <w:szCs w:val="28"/>
        </w:rPr>
        <w:t>»</w:t>
      </w:r>
      <w:r w:rsidRPr="00294153">
        <w:rPr>
          <w:rFonts w:ascii="Times New Roman" w:hAnsi="Times New Roman"/>
          <w:sz w:val="28"/>
          <w:szCs w:val="28"/>
        </w:rPr>
        <w:t xml:space="preserve"> (20 экскурсий).</w:t>
      </w:r>
    </w:p>
    <w:p w14:paraId="64DBC28E"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xml:space="preserve">Количество посетителей платформы </w:t>
      </w:r>
      <w:r w:rsidR="00B01627" w:rsidRPr="00294153">
        <w:rPr>
          <w:rFonts w:ascii="Times New Roman" w:hAnsi="Times New Roman"/>
          <w:sz w:val="28"/>
          <w:szCs w:val="28"/>
        </w:rPr>
        <w:t>«</w:t>
      </w:r>
      <w:r w:rsidRPr="00294153">
        <w:rPr>
          <w:rFonts w:ascii="Times New Roman" w:hAnsi="Times New Roman"/>
          <w:sz w:val="28"/>
          <w:szCs w:val="28"/>
        </w:rPr>
        <w:t>ВизитЮгра</w:t>
      </w:r>
      <w:r w:rsidR="00B01627" w:rsidRPr="00294153">
        <w:rPr>
          <w:rFonts w:ascii="Times New Roman" w:hAnsi="Times New Roman"/>
          <w:sz w:val="28"/>
          <w:szCs w:val="28"/>
        </w:rPr>
        <w:t>»</w:t>
      </w:r>
      <w:r w:rsidRPr="00294153">
        <w:rPr>
          <w:rFonts w:ascii="Times New Roman" w:hAnsi="Times New Roman"/>
          <w:sz w:val="28"/>
          <w:szCs w:val="28"/>
        </w:rPr>
        <w:t xml:space="preserve"> сос</w:t>
      </w:r>
      <w:r w:rsidR="001820D1">
        <w:rPr>
          <w:rFonts w:ascii="Times New Roman" w:hAnsi="Times New Roman"/>
          <w:sz w:val="28"/>
          <w:szCs w:val="28"/>
        </w:rPr>
        <w:t>тавило свыше 127,2 тыс. человек</w:t>
      </w:r>
      <w:r w:rsidRPr="00294153">
        <w:rPr>
          <w:rFonts w:ascii="Times New Roman" w:hAnsi="Times New Roman"/>
          <w:sz w:val="28"/>
          <w:szCs w:val="28"/>
        </w:rPr>
        <w:t>.</w:t>
      </w:r>
    </w:p>
    <w:p w14:paraId="5DC3B6ED"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В части взаимодействия и укрепления взаимоотношений между участниками туристического рынка региона, организовано обучение и диалоговые площадки для представителей туротрасли:</w:t>
      </w:r>
    </w:p>
    <w:p w14:paraId="384D7DD0"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1. 10 июня была запущена комплексная обучающая программа с тренингами и консультациями по разработке проектов в сфере туризма и гостеприимства </w:t>
      </w:r>
      <w:r w:rsidR="00B01627" w:rsidRPr="00294153">
        <w:rPr>
          <w:rFonts w:ascii="Times New Roman" w:hAnsi="Times New Roman"/>
          <w:sz w:val="28"/>
          <w:szCs w:val="28"/>
        </w:rPr>
        <w:t>«</w:t>
      </w:r>
      <w:r w:rsidRPr="00294153">
        <w:rPr>
          <w:rFonts w:ascii="Times New Roman" w:hAnsi="Times New Roman"/>
          <w:sz w:val="28"/>
          <w:szCs w:val="28"/>
        </w:rPr>
        <w:t>Туризм-старт</w:t>
      </w:r>
      <w:r w:rsidR="00B01627" w:rsidRPr="00294153">
        <w:rPr>
          <w:rFonts w:ascii="Times New Roman" w:hAnsi="Times New Roman"/>
          <w:sz w:val="28"/>
          <w:szCs w:val="28"/>
        </w:rPr>
        <w:t>»</w:t>
      </w:r>
      <w:r w:rsidRPr="00294153">
        <w:rPr>
          <w:rFonts w:ascii="Times New Roman" w:hAnsi="Times New Roman"/>
          <w:sz w:val="28"/>
          <w:szCs w:val="28"/>
        </w:rPr>
        <w:t>.</w:t>
      </w:r>
    </w:p>
    <w:p w14:paraId="0FE054A1" w14:textId="77777777" w:rsidR="00D562C9" w:rsidRPr="0066603D"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С 27 июня по 21 августа около 30 участников программы изучали, как формировать эмоциональные туристские продукты для разных аудиторий, рассчитывать экономику проекта и настраивать современные каналы и способы продвижения своих услуг. Вместе с тем, в рамках групповых консультаций </w:t>
      </w:r>
      <w:r w:rsidRPr="0066603D">
        <w:rPr>
          <w:rFonts w:ascii="Times New Roman" w:hAnsi="Times New Roman"/>
          <w:sz w:val="28"/>
          <w:szCs w:val="28"/>
        </w:rPr>
        <w:t>с федеральными бизнес-трекерами тестировали и внедряли рабочие инструменты для привлечения клиентов и повышения узнаваемости своих услуг.</w:t>
      </w:r>
    </w:p>
    <w:p w14:paraId="2C1B6394" w14:textId="6EE8091B" w:rsidR="00D562C9" w:rsidRPr="0066603D" w:rsidRDefault="00D562C9" w:rsidP="001820D1">
      <w:pPr>
        <w:pStyle w:val="a3"/>
        <w:spacing w:after="0" w:line="360" w:lineRule="auto"/>
        <w:ind w:left="0" w:firstLine="709"/>
        <w:contextualSpacing w:val="0"/>
        <w:jc w:val="both"/>
        <w:rPr>
          <w:rFonts w:ascii="Times New Roman" w:hAnsi="Times New Roman"/>
          <w:sz w:val="28"/>
          <w:szCs w:val="28"/>
        </w:rPr>
      </w:pPr>
      <w:r w:rsidRPr="0066603D">
        <w:rPr>
          <w:rFonts w:ascii="Times New Roman" w:hAnsi="Times New Roman"/>
          <w:sz w:val="28"/>
          <w:szCs w:val="28"/>
        </w:rPr>
        <w:t xml:space="preserve">2. В окружной столице в период с 28 по 30 августа 2024 года прошел полуфинал проекта </w:t>
      </w:r>
      <w:r w:rsidR="00B01627" w:rsidRPr="0066603D">
        <w:rPr>
          <w:rFonts w:ascii="Times New Roman" w:hAnsi="Times New Roman"/>
          <w:sz w:val="28"/>
          <w:szCs w:val="28"/>
        </w:rPr>
        <w:t>«</w:t>
      </w:r>
      <w:r w:rsidRPr="0066603D">
        <w:rPr>
          <w:rFonts w:ascii="Times New Roman" w:hAnsi="Times New Roman"/>
          <w:sz w:val="28"/>
          <w:szCs w:val="28"/>
        </w:rPr>
        <w:t>Мастера гостеприимства</w:t>
      </w:r>
      <w:r w:rsidR="00B01627" w:rsidRPr="0066603D">
        <w:rPr>
          <w:rFonts w:ascii="Times New Roman" w:hAnsi="Times New Roman"/>
          <w:sz w:val="28"/>
          <w:szCs w:val="28"/>
        </w:rPr>
        <w:t>»</w:t>
      </w:r>
      <w:r w:rsidRPr="0066603D">
        <w:rPr>
          <w:rFonts w:ascii="Times New Roman" w:hAnsi="Times New Roman"/>
          <w:sz w:val="28"/>
          <w:szCs w:val="28"/>
        </w:rPr>
        <w:t>, который собрал более 10</w:t>
      </w:r>
      <w:r w:rsidR="00F06B65" w:rsidRPr="0066603D">
        <w:rPr>
          <w:rFonts w:ascii="Times New Roman" w:hAnsi="Times New Roman"/>
          <w:sz w:val="28"/>
          <w:szCs w:val="28"/>
        </w:rPr>
        <w:t>0</w:t>
      </w:r>
      <w:r w:rsidRPr="0066603D">
        <w:rPr>
          <w:rFonts w:ascii="Times New Roman" w:hAnsi="Times New Roman"/>
          <w:sz w:val="28"/>
          <w:szCs w:val="28"/>
        </w:rPr>
        <w:t xml:space="preserve"> человек из 46 регионов страны.</w:t>
      </w:r>
    </w:p>
    <w:p w14:paraId="31C7FC5C"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66603D">
        <w:rPr>
          <w:rFonts w:ascii="Times New Roman" w:hAnsi="Times New Roman"/>
          <w:sz w:val="28"/>
          <w:szCs w:val="28"/>
        </w:rPr>
        <w:t xml:space="preserve">Рабочая программа в Ханты-Мансийске была насыщенной: участники изучали нюансы гостиничной отрасли, на мастер-кемпе </w:t>
      </w:r>
      <w:r w:rsidR="00B01627" w:rsidRPr="0066603D">
        <w:rPr>
          <w:rFonts w:ascii="Times New Roman" w:hAnsi="Times New Roman"/>
          <w:sz w:val="28"/>
          <w:szCs w:val="28"/>
        </w:rPr>
        <w:t>«</w:t>
      </w:r>
      <w:r w:rsidRPr="0066603D">
        <w:rPr>
          <w:rFonts w:ascii="Times New Roman" w:hAnsi="Times New Roman"/>
          <w:sz w:val="28"/>
          <w:szCs w:val="28"/>
        </w:rPr>
        <w:t>Персонализированный сервис в индустрии гостеприимства</w:t>
      </w:r>
      <w:r w:rsidR="00B01627" w:rsidRPr="00294153">
        <w:rPr>
          <w:rFonts w:ascii="Times New Roman" w:hAnsi="Times New Roman"/>
          <w:sz w:val="28"/>
          <w:szCs w:val="28"/>
        </w:rPr>
        <w:t>»</w:t>
      </w:r>
      <w:r w:rsidRPr="00294153">
        <w:rPr>
          <w:rFonts w:ascii="Times New Roman" w:hAnsi="Times New Roman"/>
          <w:sz w:val="28"/>
          <w:szCs w:val="28"/>
        </w:rPr>
        <w:t xml:space="preserve"> ими были разобраны несколько кейсов, среди них – создание новых продуктов, запуск новых объектов и разбор эффективных инструментов управления, и много другое.</w:t>
      </w:r>
    </w:p>
    <w:p w14:paraId="602915DC" w14:textId="77777777" w:rsidR="00D562C9" w:rsidRPr="00294153" w:rsidRDefault="001820D1" w:rsidP="00D562C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3</w:t>
      </w:r>
      <w:r w:rsidR="00D562C9" w:rsidRPr="00294153">
        <w:rPr>
          <w:rFonts w:ascii="Times New Roman" w:hAnsi="Times New Roman"/>
          <w:sz w:val="28"/>
          <w:szCs w:val="28"/>
        </w:rPr>
        <w:t xml:space="preserve">. С 12 сентября по 25 ноября Фондом развития Югры совместно с Югорским государственным университетом организована обучающая программа </w:t>
      </w:r>
      <w:r w:rsidR="00B01627" w:rsidRPr="00294153">
        <w:rPr>
          <w:rFonts w:ascii="Times New Roman" w:hAnsi="Times New Roman"/>
          <w:sz w:val="28"/>
          <w:szCs w:val="28"/>
        </w:rPr>
        <w:t>«</w:t>
      </w:r>
      <w:r w:rsidR="00D562C9" w:rsidRPr="00294153">
        <w:rPr>
          <w:rFonts w:ascii="Times New Roman" w:hAnsi="Times New Roman"/>
          <w:sz w:val="28"/>
          <w:szCs w:val="28"/>
        </w:rPr>
        <w:t>Экскурсовод</w:t>
      </w:r>
      <w:r w:rsidR="00B01627" w:rsidRPr="00294153">
        <w:rPr>
          <w:rFonts w:ascii="Times New Roman" w:hAnsi="Times New Roman"/>
          <w:sz w:val="28"/>
          <w:szCs w:val="28"/>
        </w:rPr>
        <w:t>»</w:t>
      </w:r>
      <w:r w:rsidR="00D562C9" w:rsidRPr="00294153">
        <w:rPr>
          <w:rFonts w:ascii="Times New Roman" w:hAnsi="Times New Roman"/>
          <w:sz w:val="28"/>
          <w:szCs w:val="28"/>
        </w:rPr>
        <w:t>.</w:t>
      </w:r>
    </w:p>
    <w:p w14:paraId="23387ADB"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lastRenderedPageBreak/>
        <w:t>Программа включала дисциплины по правовым основам и стандартам экскурсионной деятельности, теорию и методологию экскурсионных программ, а также интерактивные экскурсионные практики. Практическая часть была представлена мастер-классами, проведением экскурсий и итоговым аттестационным экзаменом.</w:t>
      </w:r>
    </w:p>
    <w:p w14:paraId="48CDE68B"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По итогам программы диплом о профессиональной переподготовке получили 20 экскурсоводов.</w:t>
      </w:r>
    </w:p>
    <w:p w14:paraId="1E124B2C" w14:textId="77777777" w:rsidR="00D562C9" w:rsidRPr="00294153" w:rsidRDefault="001820D1" w:rsidP="00D562C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4</w:t>
      </w:r>
      <w:r w:rsidR="00D562C9" w:rsidRPr="00294153">
        <w:rPr>
          <w:rFonts w:ascii="Times New Roman" w:hAnsi="Times New Roman"/>
          <w:sz w:val="28"/>
          <w:szCs w:val="28"/>
        </w:rPr>
        <w:t xml:space="preserve">. C 21 октября по 1 декабря 2024 года состоялся третий конкурс экскурсионных маршрутов волонтёров-экскурсоводов серебряного возраста </w:t>
      </w:r>
      <w:r w:rsidR="00B01627" w:rsidRPr="00294153">
        <w:rPr>
          <w:rFonts w:ascii="Times New Roman" w:hAnsi="Times New Roman"/>
          <w:sz w:val="28"/>
          <w:szCs w:val="28"/>
        </w:rPr>
        <w:t>«</w:t>
      </w:r>
      <w:r w:rsidR="00D562C9" w:rsidRPr="00294153">
        <w:rPr>
          <w:rFonts w:ascii="Times New Roman" w:hAnsi="Times New Roman"/>
          <w:sz w:val="28"/>
          <w:szCs w:val="28"/>
        </w:rPr>
        <w:t>Моя судьба – Югорский край</w:t>
      </w:r>
      <w:r w:rsidR="00B01627" w:rsidRPr="00294153">
        <w:rPr>
          <w:rFonts w:ascii="Times New Roman" w:hAnsi="Times New Roman"/>
          <w:sz w:val="28"/>
          <w:szCs w:val="28"/>
        </w:rPr>
        <w:t>»</w:t>
      </w:r>
      <w:r w:rsidR="00D562C9" w:rsidRPr="00294153">
        <w:rPr>
          <w:rFonts w:ascii="Times New Roman" w:hAnsi="Times New Roman"/>
          <w:sz w:val="28"/>
          <w:szCs w:val="28"/>
        </w:rPr>
        <w:t>, направленный на повышение социальной и творческой активности, качества жизни волонтеров-экскурсоводов серебряного возраста. Участие в конкурсе приняли 10 человек.</w:t>
      </w:r>
    </w:p>
    <w:p w14:paraId="3EDAA74F" w14:textId="77777777" w:rsidR="00D562C9" w:rsidRPr="00294153" w:rsidRDefault="001820D1" w:rsidP="00D562C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5</w:t>
      </w:r>
      <w:r w:rsidR="00D562C9" w:rsidRPr="00294153">
        <w:rPr>
          <w:rFonts w:ascii="Times New Roman" w:hAnsi="Times New Roman"/>
          <w:sz w:val="28"/>
          <w:szCs w:val="28"/>
        </w:rPr>
        <w:t xml:space="preserve">. 24 декабря 2024 года завершился первый этап сотрудничества между Фондом развития Югры и АНО </w:t>
      </w:r>
      <w:r w:rsidR="00B01627" w:rsidRPr="00294153">
        <w:rPr>
          <w:rFonts w:ascii="Times New Roman" w:hAnsi="Times New Roman"/>
          <w:sz w:val="28"/>
          <w:szCs w:val="28"/>
        </w:rPr>
        <w:t>«</w:t>
      </w:r>
      <w:r w:rsidR="00D562C9" w:rsidRPr="00294153">
        <w:rPr>
          <w:rFonts w:ascii="Times New Roman" w:hAnsi="Times New Roman"/>
          <w:sz w:val="28"/>
          <w:szCs w:val="28"/>
        </w:rPr>
        <w:t>Роскачество</w:t>
      </w:r>
      <w:r w:rsidR="00B01627" w:rsidRPr="00294153">
        <w:rPr>
          <w:rFonts w:ascii="Times New Roman" w:hAnsi="Times New Roman"/>
          <w:sz w:val="28"/>
          <w:szCs w:val="28"/>
        </w:rPr>
        <w:t>»</w:t>
      </w:r>
      <w:r w:rsidR="00D562C9" w:rsidRPr="00294153">
        <w:rPr>
          <w:rFonts w:ascii="Times New Roman" w:hAnsi="Times New Roman"/>
          <w:sz w:val="28"/>
          <w:szCs w:val="28"/>
        </w:rPr>
        <w:t xml:space="preserve"> по линии туризма. 10 средств размещения на территории округа прошли категоризацию с присвоением звездности.</w:t>
      </w:r>
    </w:p>
    <w:p w14:paraId="655150BF"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xml:space="preserve">В рамках презентации туристских возможностей Югры: </w:t>
      </w:r>
    </w:p>
    <w:p w14:paraId="7B93A16D"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1. 27 января в г. Москва на международной выставке-форуме </w:t>
      </w:r>
      <w:r w:rsidR="00B01627" w:rsidRPr="00294153">
        <w:rPr>
          <w:rFonts w:ascii="Times New Roman" w:hAnsi="Times New Roman"/>
          <w:sz w:val="28"/>
          <w:szCs w:val="28"/>
        </w:rPr>
        <w:t>«</w:t>
      </w:r>
      <w:r w:rsidRPr="00294153">
        <w:rPr>
          <w:rFonts w:ascii="Times New Roman" w:hAnsi="Times New Roman"/>
          <w:sz w:val="28"/>
          <w:szCs w:val="28"/>
        </w:rPr>
        <w:t>Россия</w:t>
      </w:r>
      <w:r w:rsidR="00B01627" w:rsidRPr="00294153">
        <w:rPr>
          <w:rFonts w:ascii="Times New Roman" w:hAnsi="Times New Roman"/>
          <w:sz w:val="28"/>
          <w:szCs w:val="28"/>
        </w:rPr>
        <w:t>»</w:t>
      </w:r>
      <w:r w:rsidRPr="00294153">
        <w:rPr>
          <w:rFonts w:ascii="Times New Roman" w:hAnsi="Times New Roman"/>
          <w:sz w:val="28"/>
          <w:szCs w:val="28"/>
        </w:rPr>
        <w:t xml:space="preserve"> на площадке </w:t>
      </w:r>
      <w:r w:rsidR="00B01627" w:rsidRPr="00294153">
        <w:rPr>
          <w:rFonts w:ascii="Times New Roman" w:hAnsi="Times New Roman"/>
          <w:sz w:val="28"/>
          <w:szCs w:val="28"/>
        </w:rPr>
        <w:t>«</w:t>
      </w:r>
      <w:r w:rsidRPr="00294153">
        <w:rPr>
          <w:rFonts w:ascii="Times New Roman" w:hAnsi="Times New Roman"/>
          <w:sz w:val="28"/>
          <w:szCs w:val="28"/>
        </w:rPr>
        <w:t>Дома российской кухни</w:t>
      </w:r>
      <w:r w:rsidR="00B01627" w:rsidRPr="00294153">
        <w:rPr>
          <w:rFonts w:ascii="Times New Roman" w:hAnsi="Times New Roman"/>
          <w:sz w:val="28"/>
          <w:szCs w:val="28"/>
        </w:rPr>
        <w:t>»</w:t>
      </w:r>
      <w:r w:rsidRPr="00294153">
        <w:rPr>
          <w:rFonts w:ascii="Times New Roman" w:hAnsi="Times New Roman"/>
          <w:sz w:val="28"/>
          <w:szCs w:val="28"/>
        </w:rPr>
        <w:t xml:space="preserve"> югорские шеф-повара (</w:t>
      </w:r>
      <w:r w:rsidR="00B01627" w:rsidRPr="00294153">
        <w:rPr>
          <w:rFonts w:ascii="Times New Roman" w:hAnsi="Times New Roman"/>
          <w:sz w:val="28"/>
          <w:szCs w:val="28"/>
        </w:rPr>
        <w:t>«</w:t>
      </w:r>
      <w:r w:rsidRPr="00294153">
        <w:rPr>
          <w:rFonts w:ascii="Times New Roman" w:hAnsi="Times New Roman"/>
          <w:sz w:val="28"/>
          <w:szCs w:val="28"/>
        </w:rPr>
        <w:t>У Камелька</w:t>
      </w:r>
      <w:r w:rsidR="00B01627" w:rsidRPr="00294153">
        <w:rPr>
          <w:rFonts w:ascii="Times New Roman" w:hAnsi="Times New Roman"/>
          <w:sz w:val="28"/>
          <w:szCs w:val="28"/>
        </w:rPr>
        <w:t>»</w:t>
      </w:r>
      <w:r w:rsidRPr="00294153">
        <w:rPr>
          <w:rFonts w:ascii="Times New Roman" w:hAnsi="Times New Roman"/>
          <w:sz w:val="28"/>
          <w:szCs w:val="28"/>
        </w:rPr>
        <w:t xml:space="preserve">, г. Когалым, </w:t>
      </w:r>
      <w:r w:rsidR="00B01627" w:rsidRPr="00294153">
        <w:rPr>
          <w:rFonts w:ascii="Times New Roman" w:hAnsi="Times New Roman"/>
          <w:sz w:val="28"/>
          <w:szCs w:val="28"/>
        </w:rPr>
        <w:t>«</w:t>
      </w:r>
      <w:r w:rsidRPr="00294153">
        <w:rPr>
          <w:rFonts w:ascii="Times New Roman" w:hAnsi="Times New Roman"/>
          <w:sz w:val="28"/>
          <w:szCs w:val="28"/>
        </w:rPr>
        <w:t>Панорама</w:t>
      </w:r>
      <w:r w:rsidR="00B01627" w:rsidRPr="00294153">
        <w:rPr>
          <w:rFonts w:ascii="Times New Roman" w:hAnsi="Times New Roman"/>
          <w:sz w:val="28"/>
          <w:szCs w:val="28"/>
        </w:rPr>
        <w:t>»</w:t>
      </w:r>
      <w:r w:rsidRPr="00294153">
        <w:rPr>
          <w:rFonts w:ascii="Times New Roman" w:hAnsi="Times New Roman"/>
          <w:sz w:val="28"/>
          <w:szCs w:val="28"/>
        </w:rPr>
        <w:t xml:space="preserve">, г. Ханты-Мансийск) принимали участие в фестивале </w:t>
      </w:r>
      <w:r w:rsidR="00B01627" w:rsidRPr="00294153">
        <w:rPr>
          <w:rFonts w:ascii="Times New Roman" w:hAnsi="Times New Roman"/>
          <w:sz w:val="28"/>
          <w:szCs w:val="28"/>
        </w:rPr>
        <w:t>«</w:t>
      </w:r>
      <w:r w:rsidRPr="00294153">
        <w:rPr>
          <w:rFonts w:ascii="Times New Roman" w:hAnsi="Times New Roman"/>
          <w:sz w:val="28"/>
          <w:szCs w:val="28"/>
        </w:rPr>
        <w:t>Пир Пирогов</w:t>
      </w:r>
      <w:r w:rsidR="00B01627" w:rsidRPr="00294153">
        <w:rPr>
          <w:rFonts w:ascii="Times New Roman" w:hAnsi="Times New Roman"/>
          <w:sz w:val="28"/>
          <w:szCs w:val="28"/>
        </w:rPr>
        <w:t>»</w:t>
      </w:r>
      <w:r w:rsidRPr="00294153">
        <w:rPr>
          <w:rFonts w:ascii="Times New Roman" w:hAnsi="Times New Roman"/>
          <w:sz w:val="28"/>
          <w:szCs w:val="28"/>
        </w:rPr>
        <w:t>.</w:t>
      </w:r>
    </w:p>
    <w:p w14:paraId="69A4BDF8"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Посетителям выставки представилась возможность попробовать: сладкий пирог с черёмухой, хантейку с язем и сорогой, шаньги с олениной, пирог с подкопченой нельмой, солёным папоротником и укропом, пирог с брусникой.</w:t>
      </w:r>
    </w:p>
    <w:p w14:paraId="7018B82B"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2. 11 февраля </w:t>
      </w:r>
      <w:r w:rsidR="00C767EB" w:rsidRPr="00294153">
        <w:rPr>
          <w:rFonts w:ascii="Times New Roman" w:hAnsi="Times New Roman"/>
          <w:sz w:val="28"/>
          <w:szCs w:val="28"/>
        </w:rPr>
        <w:t xml:space="preserve">в </w:t>
      </w:r>
      <w:r w:rsidRPr="00294153">
        <w:rPr>
          <w:rFonts w:ascii="Times New Roman" w:hAnsi="Times New Roman"/>
          <w:sz w:val="28"/>
          <w:szCs w:val="28"/>
        </w:rPr>
        <w:t xml:space="preserve">г. Москва на международной выставке-форуме </w:t>
      </w:r>
      <w:r w:rsidR="00B01627" w:rsidRPr="00294153">
        <w:rPr>
          <w:rFonts w:ascii="Times New Roman" w:hAnsi="Times New Roman"/>
          <w:sz w:val="28"/>
          <w:szCs w:val="28"/>
        </w:rPr>
        <w:t>«</w:t>
      </w:r>
      <w:r w:rsidRPr="00294153">
        <w:rPr>
          <w:rFonts w:ascii="Times New Roman" w:hAnsi="Times New Roman"/>
          <w:sz w:val="28"/>
          <w:szCs w:val="28"/>
        </w:rPr>
        <w:t>Россия</w:t>
      </w:r>
      <w:r w:rsidR="00B01627" w:rsidRPr="00294153">
        <w:rPr>
          <w:rFonts w:ascii="Times New Roman" w:hAnsi="Times New Roman"/>
          <w:sz w:val="28"/>
          <w:szCs w:val="28"/>
        </w:rPr>
        <w:t>»</w:t>
      </w:r>
      <w:r w:rsidRPr="00294153">
        <w:rPr>
          <w:rFonts w:ascii="Times New Roman" w:hAnsi="Times New Roman"/>
          <w:sz w:val="28"/>
          <w:szCs w:val="28"/>
        </w:rPr>
        <w:t xml:space="preserve"> на площадке </w:t>
      </w:r>
      <w:r w:rsidR="00B01627" w:rsidRPr="00294153">
        <w:rPr>
          <w:rFonts w:ascii="Times New Roman" w:hAnsi="Times New Roman"/>
          <w:sz w:val="28"/>
          <w:szCs w:val="28"/>
        </w:rPr>
        <w:t>«</w:t>
      </w:r>
      <w:r w:rsidRPr="00294153">
        <w:rPr>
          <w:rFonts w:ascii="Times New Roman" w:hAnsi="Times New Roman"/>
          <w:sz w:val="28"/>
          <w:szCs w:val="28"/>
        </w:rPr>
        <w:t>Дома российской кухни</w:t>
      </w:r>
      <w:r w:rsidR="00B01627" w:rsidRPr="00294153">
        <w:rPr>
          <w:rFonts w:ascii="Times New Roman" w:hAnsi="Times New Roman"/>
          <w:sz w:val="28"/>
          <w:szCs w:val="28"/>
        </w:rPr>
        <w:t>»</w:t>
      </w:r>
      <w:r w:rsidRPr="00294153">
        <w:rPr>
          <w:rFonts w:ascii="Times New Roman" w:hAnsi="Times New Roman"/>
          <w:sz w:val="28"/>
          <w:szCs w:val="28"/>
        </w:rPr>
        <w:t xml:space="preserve"> состоялся гастрономический фестиваль </w:t>
      </w:r>
      <w:r w:rsidR="00B01627" w:rsidRPr="00294153">
        <w:rPr>
          <w:rFonts w:ascii="Times New Roman" w:hAnsi="Times New Roman"/>
          <w:sz w:val="28"/>
          <w:szCs w:val="28"/>
        </w:rPr>
        <w:t>«</w:t>
      </w:r>
      <w:r w:rsidRPr="00294153">
        <w:rPr>
          <w:rFonts w:ascii="Times New Roman" w:hAnsi="Times New Roman"/>
          <w:sz w:val="28"/>
          <w:szCs w:val="28"/>
        </w:rPr>
        <w:t>Вкус Югры</w:t>
      </w:r>
      <w:r w:rsidR="00B01627" w:rsidRPr="00294153">
        <w:rPr>
          <w:rFonts w:ascii="Times New Roman" w:hAnsi="Times New Roman"/>
          <w:sz w:val="28"/>
          <w:szCs w:val="28"/>
        </w:rPr>
        <w:t>»</w:t>
      </w:r>
      <w:r w:rsidRPr="00294153">
        <w:rPr>
          <w:rFonts w:ascii="Times New Roman" w:hAnsi="Times New Roman"/>
          <w:sz w:val="28"/>
          <w:szCs w:val="28"/>
        </w:rPr>
        <w:t>.</w:t>
      </w:r>
    </w:p>
    <w:p w14:paraId="7F5E4B18"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3. 21 февраля туристический бренд </w:t>
      </w:r>
      <w:r w:rsidR="00B01627" w:rsidRPr="00294153">
        <w:rPr>
          <w:rFonts w:ascii="Times New Roman" w:hAnsi="Times New Roman"/>
          <w:sz w:val="28"/>
          <w:szCs w:val="28"/>
        </w:rPr>
        <w:t>«</w:t>
      </w:r>
      <w:r w:rsidRPr="00294153">
        <w:rPr>
          <w:rFonts w:ascii="Times New Roman" w:hAnsi="Times New Roman"/>
          <w:sz w:val="28"/>
          <w:szCs w:val="28"/>
        </w:rPr>
        <w:t>ВизитЮгра</w:t>
      </w:r>
      <w:r w:rsidR="00B01627" w:rsidRPr="00294153">
        <w:rPr>
          <w:rFonts w:ascii="Times New Roman" w:hAnsi="Times New Roman"/>
          <w:sz w:val="28"/>
          <w:szCs w:val="28"/>
        </w:rPr>
        <w:t>»</w:t>
      </w:r>
      <w:r w:rsidRPr="00294153">
        <w:rPr>
          <w:rFonts w:ascii="Times New Roman" w:hAnsi="Times New Roman"/>
          <w:sz w:val="28"/>
          <w:szCs w:val="28"/>
        </w:rPr>
        <w:t xml:space="preserve"> вышел</w:t>
      </w:r>
      <w:r w:rsidR="00C767EB" w:rsidRPr="00294153">
        <w:rPr>
          <w:rFonts w:ascii="Times New Roman" w:hAnsi="Times New Roman"/>
          <w:sz w:val="28"/>
          <w:szCs w:val="28"/>
        </w:rPr>
        <w:t xml:space="preserve"> в</w:t>
      </w:r>
      <w:r w:rsidRPr="00294153">
        <w:rPr>
          <w:rFonts w:ascii="Times New Roman" w:hAnsi="Times New Roman"/>
          <w:sz w:val="28"/>
          <w:szCs w:val="28"/>
        </w:rPr>
        <w:t xml:space="preserve"> финальный этап III Всероссийской премии Russian Travel Awards. Финальные </w:t>
      </w:r>
      <w:r w:rsidRPr="00294153">
        <w:rPr>
          <w:rFonts w:ascii="Times New Roman" w:hAnsi="Times New Roman"/>
          <w:sz w:val="28"/>
          <w:szCs w:val="28"/>
        </w:rPr>
        <w:lastRenderedPageBreak/>
        <w:t xml:space="preserve">мероприятия премии прошли в г. Санкт-Петербурге при поддержке Комитета по развитию туризма Санкт-Петербурга и СПБ ГБУ </w:t>
      </w:r>
      <w:r w:rsidR="00B01627" w:rsidRPr="00294153">
        <w:rPr>
          <w:rFonts w:ascii="Times New Roman" w:hAnsi="Times New Roman"/>
          <w:sz w:val="28"/>
          <w:szCs w:val="28"/>
        </w:rPr>
        <w:t>«</w:t>
      </w:r>
      <w:r w:rsidRPr="00294153">
        <w:rPr>
          <w:rFonts w:ascii="Times New Roman" w:hAnsi="Times New Roman"/>
          <w:sz w:val="28"/>
          <w:szCs w:val="28"/>
        </w:rPr>
        <w:t>Городской Туристско-Информационный Центр</w:t>
      </w:r>
      <w:r w:rsidR="00B01627" w:rsidRPr="00294153">
        <w:rPr>
          <w:rFonts w:ascii="Times New Roman" w:hAnsi="Times New Roman"/>
          <w:sz w:val="28"/>
          <w:szCs w:val="28"/>
        </w:rPr>
        <w:t>»</w:t>
      </w:r>
      <w:r w:rsidRPr="00294153">
        <w:rPr>
          <w:rFonts w:ascii="Times New Roman" w:hAnsi="Times New Roman"/>
          <w:sz w:val="28"/>
          <w:szCs w:val="28"/>
        </w:rPr>
        <w:t>.</w:t>
      </w:r>
    </w:p>
    <w:p w14:paraId="5F73D320"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В номинации </w:t>
      </w:r>
      <w:r w:rsidR="00B01627" w:rsidRPr="00294153">
        <w:rPr>
          <w:rFonts w:ascii="Times New Roman" w:hAnsi="Times New Roman"/>
          <w:sz w:val="28"/>
          <w:szCs w:val="28"/>
        </w:rPr>
        <w:t>«</w:t>
      </w:r>
      <w:r w:rsidRPr="00294153">
        <w:rPr>
          <w:rFonts w:ascii="Times New Roman" w:hAnsi="Times New Roman"/>
          <w:sz w:val="28"/>
          <w:szCs w:val="28"/>
        </w:rPr>
        <w:t>Регион туристических брендов</w:t>
      </w:r>
      <w:r w:rsidR="00B01627" w:rsidRPr="00294153">
        <w:rPr>
          <w:rFonts w:ascii="Times New Roman" w:hAnsi="Times New Roman"/>
          <w:sz w:val="28"/>
          <w:szCs w:val="28"/>
        </w:rPr>
        <w:t>»</w:t>
      </w:r>
      <w:r w:rsidRPr="00294153">
        <w:rPr>
          <w:rFonts w:ascii="Times New Roman" w:hAnsi="Times New Roman"/>
          <w:sz w:val="28"/>
          <w:szCs w:val="28"/>
        </w:rPr>
        <w:t xml:space="preserve"> Югра заняла 3 место.</w:t>
      </w:r>
    </w:p>
    <w:p w14:paraId="797752C1"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4. С 19 по 21 марта на площадке </w:t>
      </w:r>
      <w:r w:rsidR="00B01627" w:rsidRPr="00294153">
        <w:rPr>
          <w:rFonts w:ascii="Times New Roman" w:hAnsi="Times New Roman"/>
          <w:sz w:val="28"/>
          <w:szCs w:val="28"/>
        </w:rPr>
        <w:t>«</w:t>
      </w:r>
      <w:r w:rsidRPr="00294153">
        <w:rPr>
          <w:rFonts w:ascii="Times New Roman" w:hAnsi="Times New Roman"/>
          <w:sz w:val="28"/>
          <w:szCs w:val="28"/>
        </w:rPr>
        <w:t>Крокус Экспо</w:t>
      </w:r>
      <w:r w:rsidR="00B01627" w:rsidRPr="00294153">
        <w:rPr>
          <w:rFonts w:ascii="Times New Roman" w:hAnsi="Times New Roman"/>
          <w:sz w:val="28"/>
          <w:szCs w:val="28"/>
        </w:rPr>
        <w:t>»</w:t>
      </w:r>
      <w:r w:rsidRPr="00294153">
        <w:rPr>
          <w:rFonts w:ascii="Times New Roman" w:hAnsi="Times New Roman"/>
          <w:sz w:val="28"/>
          <w:szCs w:val="28"/>
        </w:rPr>
        <w:t xml:space="preserve"> (Московская область, Красногорский район, г. Красногорск, ул. Международная, д. 16, 18, 20) была организована презентация туристского потенциала Югры в рамках индивидуального стенда Ханты-Мансийского автономного округа – Югры на международной туристской выставке </w:t>
      </w:r>
      <w:r w:rsidR="00B01627" w:rsidRPr="00294153">
        <w:rPr>
          <w:rFonts w:ascii="Times New Roman" w:hAnsi="Times New Roman"/>
          <w:sz w:val="28"/>
          <w:szCs w:val="28"/>
        </w:rPr>
        <w:t>«</w:t>
      </w:r>
      <w:r w:rsidRPr="00294153">
        <w:rPr>
          <w:rFonts w:ascii="Times New Roman" w:hAnsi="Times New Roman"/>
          <w:sz w:val="28"/>
          <w:szCs w:val="28"/>
        </w:rPr>
        <w:t>MITT 2024</w:t>
      </w:r>
      <w:r w:rsidR="00B01627" w:rsidRPr="00294153">
        <w:rPr>
          <w:rFonts w:ascii="Times New Roman" w:hAnsi="Times New Roman"/>
          <w:sz w:val="28"/>
          <w:szCs w:val="28"/>
        </w:rPr>
        <w:t>»</w:t>
      </w:r>
      <w:r w:rsidRPr="00294153">
        <w:rPr>
          <w:rFonts w:ascii="Times New Roman" w:hAnsi="Times New Roman"/>
          <w:sz w:val="28"/>
          <w:szCs w:val="28"/>
        </w:rPr>
        <w:t>;</w:t>
      </w:r>
    </w:p>
    <w:p w14:paraId="71AEB809" w14:textId="77777777" w:rsidR="00D562C9" w:rsidRPr="00294153" w:rsidRDefault="00C767EB"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5. </w:t>
      </w:r>
      <w:r w:rsidR="00D562C9" w:rsidRPr="00294153">
        <w:rPr>
          <w:rFonts w:ascii="Times New Roman" w:hAnsi="Times New Roman"/>
          <w:sz w:val="28"/>
          <w:szCs w:val="28"/>
        </w:rPr>
        <w:t xml:space="preserve">9 апреля 2024 года Центр компетенций в сфере туризма организовал серию мероприятий в рамках программного для на выставке-форуме </w:t>
      </w:r>
      <w:r w:rsidR="00B01627" w:rsidRPr="00294153">
        <w:rPr>
          <w:rFonts w:ascii="Times New Roman" w:hAnsi="Times New Roman"/>
          <w:sz w:val="28"/>
          <w:szCs w:val="28"/>
        </w:rPr>
        <w:t>«</w:t>
      </w:r>
      <w:r w:rsidR="00D562C9" w:rsidRPr="00294153">
        <w:rPr>
          <w:rFonts w:ascii="Times New Roman" w:hAnsi="Times New Roman"/>
          <w:sz w:val="28"/>
          <w:szCs w:val="28"/>
        </w:rPr>
        <w:t>Россия</w:t>
      </w:r>
      <w:r w:rsidR="00B01627" w:rsidRPr="00294153">
        <w:rPr>
          <w:rFonts w:ascii="Times New Roman" w:hAnsi="Times New Roman"/>
          <w:sz w:val="28"/>
          <w:szCs w:val="28"/>
        </w:rPr>
        <w:t>»</w:t>
      </w:r>
      <w:r w:rsidR="00D562C9" w:rsidRPr="00294153">
        <w:rPr>
          <w:rFonts w:ascii="Times New Roman" w:hAnsi="Times New Roman"/>
          <w:sz w:val="28"/>
          <w:szCs w:val="28"/>
        </w:rPr>
        <w:t xml:space="preserve"> - </w:t>
      </w:r>
      <w:r w:rsidR="00B01627" w:rsidRPr="00294153">
        <w:rPr>
          <w:rFonts w:ascii="Times New Roman" w:hAnsi="Times New Roman"/>
          <w:sz w:val="28"/>
          <w:szCs w:val="28"/>
        </w:rPr>
        <w:t>«</w:t>
      </w:r>
      <w:r w:rsidR="00D562C9" w:rsidRPr="00294153">
        <w:rPr>
          <w:rFonts w:ascii="Times New Roman" w:hAnsi="Times New Roman"/>
          <w:sz w:val="28"/>
          <w:szCs w:val="28"/>
        </w:rPr>
        <w:t>Любительская рыбалка и внутренний туризм</w:t>
      </w:r>
      <w:r w:rsidR="00B01627" w:rsidRPr="00294153">
        <w:rPr>
          <w:rFonts w:ascii="Times New Roman" w:hAnsi="Times New Roman"/>
          <w:sz w:val="28"/>
          <w:szCs w:val="28"/>
        </w:rPr>
        <w:t>»</w:t>
      </w:r>
      <w:r w:rsidR="00D562C9" w:rsidRPr="00294153">
        <w:rPr>
          <w:rFonts w:ascii="Times New Roman" w:hAnsi="Times New Roman"/>
          <w:sz w:val="28"/>
          <w:szCs w:val="28"/>
        </w:rPr>
        <w:t xml:space="preserve"> на Международной выставке-форуме </w:t>
      </w:r>
      <w:r w:rsidR="00B01627" w:rsidRPr="00294153">
        <w:rPr>
          <w:rFonts w:ascii="Times New Roman" w:hAnsi="Times New Roman"/>
          <w:sz w:val="28"/>
          <w:szCs w:val="28"/>
        </w:rPr>
        <w:t>«</w:t>
      </w:r>
      <w:r w:rsidR="00D562C9" w:rsidRPr="00294153">
        <w:rPr>
          <w:rFonts w:ascii="Times New Roman" w:hAnsi="Times New Roman"/>
          <w:sz w:val="28"/>
          <w:szCs w:val="28"/>
        </w:rPr>
        <w:t>Россия</w:t>
      </w:r>
      <w:r w:rsidR="00B01627" w:rsidRPr="00294153">
        <w:rPr>
          <w:rFonts w:ascii="Times New Roman" w:hAnsi="Times New Roman"/>
          <w:sz w:val="28"/>
          <w:szCs w:val="28"/>
        </w:rPr>
        <w:t>»</w:t>
      </w:r>
      <w:r w:rsidR="00D562C9" w:rsidRPr="00294153">
        <w:rPr>
          <w:rFonts w:ascii="Times New Roman" w:hAnsi="Times New Roman"/>
          <w:sz w:val="28"/>
          <w:szCs w:val="28"/>
        </w:rPr>
        <w:t>.</w:t>
      </w:r>
    </w:p>
    <w:p w14:paraId="56D73046" w14:textId="77777777" w:rsidR="00D562C9" w:rsidRPr="00294153" w:rsidRDefault="00C767EB"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6. </w:t>
      </w:r>
      <w:r w:rsidR="00D562C9" w:rsidRPr="00294153">
        <w:rPr>
          <w:rFonts w:ascii="Times New Roman" w:hAnsi="Times New Roman"/>
          <w:sz w:val="28"/>
          <w:szCs w:val="28"/>
        </w:rPr>
        <w:t xml:space="preserve">4 сентября 2024 года между Фондом развития Югры и Ассоциацией </w:t>
      </w:r>
      <w:r w:rsidR="00B01627" w:rsidRPr="00294153">
        <w:rPr>
          <w:rFonts w:ascii="Times New Roman" w:hAnsi="Times New Roman"/>
          <w:sz w:val="28"/>
          <w:szCs w:val="28"/>
        </w:rPr>
        <w:t>«</w:t>
      </w:r>
      <w:r w:rsidR="00D562C9" w:rsidRPr="00294153">
        <w:rPr>
          <w:rFonts w:ascii="Times New Roman" w:hAnsi="Times New Roman"/>
          <w:sz w:val="28"/>
          <w:szCs w:val="28"/>
        </w:rPr>
        <w:t xml:space="preserve">Академия хоккея </w:t>
      </w:r>
      <w:r w:rsidR="00B01627" w:rsidRPr="00294153">
        <w:rPr>
          <w:rFonts w:ascii="Times New Roman" w:hAnsi="Times New Roman"/>
          <w:sz w:val="28"/>
          <w:szCs w:val="28"/>
        </w:rPr>
        <w:t>«</w:t>
      </w:r>
      <w:r w:rsidR="00D562C9" w:rsidRPr="00294153">
        <w:rPr>
          <w:rFonts w:ascii="Times New Roman" w:hAnsi="Times New Roman"/>
          <w:sz w:val="28"/>
          <w:szCs w:val="28"/>
        </w:rPr>
        <w:t>ЮГРА</w:t>
      </w:r>
      <w:r w:rsidR="00B01627" w:rsidRPr="00294153">
        <w:rPr>
          <w:rFonts w:ascii="Times New Roman" w:hAnsi="Times New Roman"/>
          <w:sz w:val="28"/>
          <w:szCs w:val="28"/>
        </w:rPr>
        <w:t>»</w:t>
      </w:r>
      <w:r w:rsidR="00D562C9" w:rsidRPr="00294153">
        <w:rPr>
          <w:rFonts w:ascii="Times New Roman" w:hAnsi="Times New Roman"/>
          <w:sz w:val="28"/>
          <w:szCs w:val="28"/>
        </w:rPr>
        <w:t xml:space="preserve"> заключен договор на предмет рекламной компании бренда </w:t>
      </w:r>
      <w:r w:rsidR="00B01627" w:rsidRPr="00294153">
        <w:rPr>
          <w:rFonts w:ascii="Times New Roman" w:hAnsi="Times New Roman"/>
          <w:sz w:val="28"/>
          <w:szCs w:val="28"/>
        </w:rPr>
        <w:t>«</w:t>
      </w:r>
      <w:r w:rsidR="00D562C9" w:rsidRPr="00294153">
        <w:rPr>
          <w:rFonts w:ascii="Times New Roman" w:hAnsi="Times New Roman"/>
          <w:sz w:val="28"/>
          <w:szCs w:val="28"/>
        </w:rPr>
        <w:t>ВизитЮгра</w:t>
      </w:r>
      <w:r w:rsidR="00B01627" w:rsidRPr="00294153">
        <w:rPr>
          <w:rFonts w:ascii="Times New Roman" w:hAnsi="Times New Roman"/>
          <w:sz w:val="28"/>
          <w:szCs w:val="28"/>
        </w:rPr>
        <w:t>»</w:t>
      </w:r>
      <w:r w:rsidR="00D562C9" w:rsidRPr="00294153">
        <w:rPr>
          <w:rFonts w:ascii="Times New Roman" w:hAnsi="Times New Roman"/>
          <w:sz w:val="28"/>
          <w:szCs w:val="28"/>
        </w:rPr>
        <w:t xml:space="preserve"> в рамках домашних и выездных матчей хоккейного клуба </w:t>
      </w:r>
      <w:r w:rsidR="00B01627" w:rsidRPr="00294153">
        <w:rPr>
          <w:rFonts w:ascii="Times New Roman" w:hAnsi="Times New Roman"/>
          <w:sz w:val="28"/>
          <w:szCs w:val="28"/>
        </w:rPr>
        <w:t>«</w:t>
      </w:r>
      <w:r w:rsidR="00D562C9" w:rsidRPr="00294153">
        <w:rPr>
          <w:rFonts w:ascii="Times New Roman" w:hAnsi="Times New Roman"/>
          <w:sz w:val="28"/>
          <w:szCs w:val="28"/>
        </w:rPr>
        <w:t>Югра</w:t>
      </w:r>
      <w:r w:rsidR="00B01627" w:rsidRPr="00294153">
        <w:rPr>
          <w:rFonts w:ascii="Times New Roman" w:hAnsi="Times New Roman"/>
          <w:sz w:val="28"/>
          <w:szCs w:val="28"/>
        </w:rPr>
        <w:t>»</w:t>
      </w:r>
      <w:r w:rsidR="00D562C9" w:rsidRPr="00294153">
        <w:rPr>
          <w:rFonts w:ascii="Times New Roman" w:hAnsi="Times New Roman"/>
          <w:sz w:val="28"/>
          <w:szCs w:val="28"/>
        </w:rPr>
        <w:t xml:space="preserve"> (участник ВХЛ).</w:t>
      </w:r>
    </w:p>
    <w:p w14:paraId="1863C2C7"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Продолжается системная работа по продвижению туристского потенциала в социальных сетях: </w:t>
      </w:r>
      <w:hyperlink r:id="rId8" w:history="1">
        <w:r w:rsidRPr="00294153">
          <w:rPr>
            <w:rStyle w:val="ac"/>
            <w:rFonts w:ascii="Times New Roman" w:hAnsi="Times New Roman"/>
            <w:sz w:val="28"/>
            <w:szCs w:val="28"/>
          </w:rPr>
          <w:t>ВКонтакте</w:t>
        </w:r>
      </w:hyperlink>
      <w:r w:rsidRPr="00294153">
        <w:rPr>
          <w:rFonts w:ascii="Times New Roman" w:hAnsi="Times New Roman"/>
          <w:sz w:val="28"/>
          <w:szCs w:val="28"/>
        </w:rPr>
        <w:t xml:space="preserve">, </w:t>
      </w:r>
      <w:hyperlink r:id="rId9" w:history="1">
        <w:r w:rsidRPr="00294153">
          <w:rPr>
            <w:rStyle w:val="ac"/>
            <w:rFonts w:ascii="Times New Roman" w:hAnsi="Times New Roman"/>
            <w:sz w:val="28"/>
            <w:szCs w:val="28"/>
          </w:rPr>
          <w:t>Телеграм</w:t>
        </w:r>
      </w:hyperlink>
      <w:r w:rsidRPr="00294153">
        <w:rPr>
          <w:rFonts w:ascii="Times New Roman" w:hAnsi="Times New Roman"/>
          <w:sz w:val="28"/>
          <w:szCs w:val="28"/>
        </w:rPr>
        <w:t xml:space="preserve">, </w:t>
      </w:r>
      <w:hyperlink r:id="rId10" w:history="1">
        <w:r w:rsidRPr="00294153">
          <w:rPr>
            <w:rStyle w:val="ac"/>
            <w:rFonts w:ascii="Times New Roman" w:hAnsi="Times New Roman"/>
            <w:sz w:val="28"/>
            <w:szCs w:val="28"/>
          </w:rPr>
          <w:t>Дзен</w:t>
        </w:r>
      </w:hyperlink>
      <w:r w:rsidRPr="00294153">
        <w:rPr>
          <w:rFonts w:ascii="Times New Roman" w:hAnsi="Times New Roman"/>
          <w:sz w:val="28"/>
          <w:szCs w:val="28"/>
        </w:rPr>
        <w:t>. В официальных туристских аккаунтах VisitUgra ежедневно публикуются информационные материалы о достопримечательностях, интересных событиях и объектах для посещения (ВКонтакте, Телеграм, Дзен), еженедельно в адрес Правительства</w:t>
      </w:r>
      <w:r w:rsidR="00C767EB" w:rsidRPr="00294153">
        <w:rPr>
          <w:rFonts w:ascii="Times New Roman" w:hAnsi="Times New Roman"/>
          <w:sz w:val="28"/>
          <w:szCs w:val="28"/>
        </w:rPr>
        <w:t xml:space="preserve"> автономного округа </w:t>
      </w:r>
      <w:r w:rsidRPr="00294153">
        <w:rPr>
          <w:rFonts w:ascii="Times New Roman" w:hAnsi="Times New Roman"/>
          <w:sz w:val="28"/>
          <w:szCs w:val="28"/>
        </w:rPr>
        <w:t xml:space="preserve">и муниципальных образований </w:t>
      </w:r>
      <w:r w:rsidR="00C767EB" w:rsidRPr="00294153">
        <w:rPr>
          <w:rFonts w:ascii="Times New Roman" w:hAnsi="Times New Roman"/>
          <w:sz w:val="28"/>
          <w:szCs w:val="28"/>
        </w:rPr>
        <w:t xml:space="preserve">автономного </w:t>
      </w:r>
      <w:r w:rsidRPr="00294153">
        <w:rPr>
          <w:rFonts w:ascii="Times New Roman" w:hAnsi="Times New Roman"/>
          <w:sz w:val="28"/>
          <w:szCs w:val="28"/>
        </w:rPr>
        <w:t>округа рассылается Туристический гид по Югре.</w:t>
      </w:r>
    </w:p>
    <w:p w14:paraId="4633FB7F"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По состоянию на 31 декабря 2024 года размещены 864 публикации, выпущен 51 Туристический гид, охват составил 4 933 187 пользователей.</w:t>
      </w:r>
    </w:p>
    <w:p w14:paraId="5344219C"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В 2024 году Центром компетенций проводился прием съемочных групп федеральных телеканалов и медиапроектов:</w:t>
      </w:r>
    </w:p>
    <w:p w14:paraId="77CA3BC7"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xml:space="preserve">1. </w:t>
      </w:r>
      <w:r w:rsidR="00B01627" w:rsidRPr="00294153">
        <w:rPr>
          <w:rFonts w:ascii="Times New Roman" w:hAnsi="Times New Roman"/>
          <w:sz w:val="28"/>
          <w:szCs w:val="28"/>
        </w:rPr>
        <w:t>«</w:t>
      </w:r>
      <w:r w:rsidRPr="00294153">
        <w:rPr>
          <w:rFonts w:ascii="Times New Roman" w:hAnsi="Times New Roman"/>
          <w:sz w:val="28"/>
          <w:szCs w:val="28"/>
        </w:rPr>
        <w:t>Первый канал</w:t>
      </w:r>
      <w:r w:rsidR="00B01627" w:rsidRPr="00294153">
        <w:rPr>
          <w:rFonts w:ascii="Times New Roman" w:hAnsi="Times New Roman"/>
          <w:sz w:val="28"/>
          <w:szCs w:val="28"/>
        </w:rPr>
        <w:t>»</w:t>
      </w:r>
      <w:r w:rsidRPr="00294153">
        <w:rPr>
          <w:rFonts w:ascii="Times New Roman" w:hAnsi="Times New Roman"/>
          <w:sz w:val="28"/>
          <w:szCs w:val="28"/>
        </w:rPr>
        <w:t xml:space="preserve"> (медиагруппа </w:t>
      </w:r>
      <w:r w:rsidR="00B01627" w:rsidRPr="00294153">
        <w:rPr>
          <w:rFonts w:ascii="Times New Roman" w:hAnsi="Times New Roman"/>
          <w:sz w:val="28"/>
          <w:szCs w:val="28"/>
        </w:rPr>
        <w:t>«</w:t>
      </w:r>
      <w:r w:rsidRPr="00294153">
        <w:rPr>
          <w:rFonts w:ascii="Times New Roman" w:hAnsi="Times New Roman"/>
          <w:sz w:val="28"/>
          <w:szCs w:val="28"/>
        </w:rPr>
        <w:t>Красный квадрат</w:t>
      </w:r>
      <w:r w:rsidR="00B01627" w:rsidRPr="00294153">
        <w:rPr>
          <w:rFonts w:ascii="Times New Roman" w:hAnsi="Times New Roman"/>
          <w:sz w:val="28"/>
          <w:szCs w:val="28"/>
        </w:rPr>
        <w:t>»</w:t>
      </w:r>
      <w:r w:rsidRPr="00294153">
        <w:rPr>
          <w:rFonts w:ascii="Times New Roman" w:hAnsi="Times New Roman"/>
          <w:sz w:val="28"/>
          <w:szCs w:val="28"/>
        </w:rPr>
        <w:t xml:space="preserve">), программа </w:t>
      </w:r>
      <w:r w:rsidR="00B01627" w:rsidRPr="00294153">
        <w:rPr>
          <w:rFonts w:ascii="Times New Roman" w:hAnsi="Times New Roman"/>
          <w:sz w:val="28"/>
          <w:szCs w:val="28"/>
        </w:rPr>
        <w:t>«</w:t>
      </w:r>
      <w:r w:rsidRPr="00294153">
        <w:rPr>
          <w:rFonts w:ascii="Times New Roman" w:hAnsi="Times New Roman"/>
          <w:sz w:val="28"/>
          <w:szCs w:val="28"/>
        </w:rPr>
        <w:t>Повара на колёсах</w:t>
      </w:r>
      <w:r w:rsidR="00B01627" w:rsidRPr="00294153">
        <w:rPr>
          <w:rFonts w:ascii="Times New Roman" w:hAnsi="Times New Roman"/>
          <w:sz w:val="28"/>
          <w:szCs w:val="28"/>
        </w:rPr>
        <w:t>»</w:t>
      </w:r>
      <w:r w:rsidRPr="00294153">
        <w:rPr>
          <w:rFonts w:ascii="Times New Roman" w:hAnsi="Times New Roman"/>
          <w:sz w:val="28"/>
          <w:szCs w:val="28"/>
        </w:rPr>
        <w:t xml:space="preserve">. Ведущие посетили знаковые достопримечательности г. </w:t>
      </w:r>
      <w:r w:rsidRPr="00294153">
        <w:rPr>
          <w:rFonts w:ascii="Times New Roman" w:hAnsi="Times New Roman"/>
          <w:sz w:val="28"/>
          <w:szCs w:val="28"/>
        </w:rPr>
        <w:lastRenderedPageBreak/>
        <w:t xml:space="preserve">Ханты-Мансийска, провели тренировку с олимпийскими чемпионами и прошли настоящее испытание в турнире </w:t>
      </w:r>
      <w:r w:rsidR="00B01627" w:rsidRPr="00294153">
        <w:rPr>
          <w:rFonts w:ascii="Times New Roman" w:hAnsi="Times New Roman"/>
          <w:sz w:val="28"/>
          <w:szCs w:val="28"/>
        </w:rPr>
        <w:t>«</w:t>
      </w:r>
      <w:r w:rsidRPr="00294153">
        <w:rPr>
          <w:rFonts w:ascii="Times New Roman" w:hAnsi="Times New Roman"/>
          <w:sz w:val="28"/>
          <w:szCs w:val="28"/>
        </w:rPr>
        <w:t>Сибирский замес</w:t>
      </w:r>
      <w:r w:rsidR="00B01627" w:rsidRPr="00294153">
        <w:rPr>
          <w:rFonts w:ascii="Times New Roman" w:hAnsi="Times New Roman"/>
          <w:sz w:val="28"/>
          <w:szCs w:val="28"/>
        </w:rPr>
        <w:t>»</w:t>
      </w:r>
      <w:r w:rsidRPr="00294153">
        <w:rPr>
          <w:rFonts w:ascii="Times New Roman" w:hAnsi="Times New Roman"/>
          <w:sz w:val="28"/>
          <w:szCs w:val="28"/>
        </w:rPr>
        <w:t>. В Сургуте шеф-повара окунулись в культуру коренных малочисленных народов Севера на стойбище ханты, полетали на спортивных самолетах прошлого века и стали настоящими каюрами сибирских хаски.</w:t>
      </w:r>
    </w:p>
    <w:p w14:paraId="246446E4"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2. Вконтакте, проект </w:t>
      </w:r>
      <w:r w:rsidR="00B01627" w:rsidRPr="00294153">
        <w:rPr>
          <w:rFonts w:ascii="Times New Roman" w:hAnsi="Times New Roman"/>
          <w:sz w:val="28"/>
          <w:szCs w:val="28"/>
        </w:rPr>
        <w:t>«</w:t>
      </w:r>
      <w:r w:rsidRPr="00294153">
        <w:rPr>
          <w:rFonts w:ascii="Times New Roman" w:hAnsi="Times New Roman"/>
          <w:sz w:val="28"/>
          <w:szCs w:val="28"/>
        </w:rPr>
        <w:t>Места</w:t>
      </w:r>
      <w:r w:rsidR="00B01627" w:rsidRPr="00294153">
        <w:rPr>
          <w:rFonts w:ascii="Times New Roman" w:hAnsi="Times New Roman"/>
          <w:sz w:val="28"/>
          <w:szCs w:val="28"/>
        </w:rPr>
        <w:t>»</w:t>
      </w:r>
      <w:r w:rsidRPr="00294153">
        <w:rPr>
          <w:rFonts w:ascii="Times New Roman" w:hAnsi="Times New Roman"/>
          <w:sz w:val="28"/>
          <w:szCs w:val="28"/>
        </w:rPr>
        <w:t xml:space="preserve"> – имиджевые видео в жанре киноэссе о регионах России. Для съёмок роликов организуется медиаэкспедиция, в состав которой входят популярные блогеры, артисты и участники программы </w:t>
      </w:r>
      <w:r w:rsidR="00B01627" w:rsidRPr="00294153">
        <w:rPr>
          <w:rFonts w:ascii="Times New Roman" w:hAnsi="Times New Roman"/>
          <w:sz w:val="28"/>
          <w:szCs w:val="28"/>
        </w:rPr>
        <w:t>«</w:t>
      </w:r>
      <w:r w:rsidRPr="00294153">
        <w:rPr>
          <w:rFonts w:ascii="Times New Roman" w:hAnsi="Times New Roman"/>
          <w:sz w:val="28"/>
          <w:szCs w:val="28"/>
        </w:rPr>
        <w:t>Больше, чем путешествие</w:t>
      </w:r>
      <w:r w:rsidR="00B01627" w:rsidRPr="00294153">
        <w:rPr>
          <w:rFonts w:ascii="Times New Roman" w:hAnsi="Times New Roman"/>
          <w:sz w:val="28"/>
          <w:szCs w:val="28"/>
        </w:rPr>
        <w:t>»</w:t>
      </w:r>
      <w:r w:rsidRPr="00294153">
        <w:rPr>
          <w:rFonts w:ascii="Times New Roman" w:hAnsi="Times New Roman"/>
          <w:sz w:val="28"/>
          <w:szCs w:val="28"/>
        </w:rPr>
        <w:t>. Участники медиапроекта посетили один из самых крупных океанариумов России в городе Когалым и провели эксперименты с нефтью, увидели Сургут с высоты птичьего полёта и покатались на сибирских хаски, а в Ханты-Мансийске познакомились с достопримечательностями города и приняли участие в мастер-классе по стрельбе от заслуженного мастера спорта Дмитрия Ярошенко.</w:t>
      </w:r>
    </w:p>
    <w:p w14:paraId="36006D93"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Кроме этого, блогеры познакомились с традиционным образом жизни коренных малочисленных народов Севера, попробовали местную кухню и побывали на Югорском лыжном марафоне.</w:t>
      </w:r>
    </w:p>
    <w:p w14:paraId="49786496"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3. </w:t>
      </w:r>
      <w:r w:rsidR="00B01627" w:rsidRPr="00294153">
        <w:rPr>
          <w:rFonts w:ascii="Times New Roman" w:hAnsi="Times New Roman"/>
          <w:sz w:val="28"/>
          <w:szCs w:val="28"/>
        </w:rPr>
        <w:t>«</w:t>
      </w:r>
      <w:r w:rsidRPr="00294153">
        <w:rPr>
          <w:rFonts w:ascii="Times New Roman" w:hAnsi="Times New Roman"/>
          <w:sz w:val="28"/>
          <w:szCs w:val="28"/>
        </w:rPr>
        <w:t>Медиаразведка</w:t>
      </w:r>
      <w:r w:rsidR="00B01627" w:rsidRPr="00294153">
        <w:rPr>
          <w:rFonts w:ascii="Times New Roman" w:hAnsi="Times New Roman"/>
          <w:sz w:val="28"/>
          <w:szCs w:val="28"/>
        </w:rPr>
        <w:t>»</w:t>
      </w:r>
      <w:r w:rsidRPr="00294153">
        <w:rPr>
          <w:rFonts w:ascii="Times New Roman" w:hAnsi="Times New Roman"/>
          <w:sz w:val="28"/>
          <w:szCs w:val="28"/>
        </w:rPr>
        <w:t xml:space="preserve"> сервиса Туту.ру. По итогам 2024 года Югра заняла вторую позицию в рейтинге лучших мест страны, набрав 9,9 баллов. На первом месте </w:t>
      </w:r>
      <w:r w:rsidR="00166DD0" w:rsidRPr="00294153">
        <w:rPr>
          <w:rFonts w:ascii="Times New Roman" w:hAnsi="Times New Roman"/>
          <w:sz w:val="28"/>
          <w:szCs w:val="28"/>
        </w:rPr>
        <w:t>–</w:t>
      </w:r>
      <w:r w:rsidRPr="00294153">
        <w:rPr>
          <w:rFonts w:ascii="Times New Roman" w:hAnsi="Times New Roman"/>
          <w:sz w:val="28"/>
          <w:szCs w:val="28"/>
        </w:rPr>
        <w:t xml:space="preserve"> Краснодарский край (10 баллов), на 3 месте </w:t>
      </w:r>
      <w:r w:rsidR="00166DD0" w:rsidRPr="00294153">
        <w:rPr>
          <w:rFonts w:ascii="Times New Roman" w:hAnsi="Times New Roman"/>
          <w:sz w:val="28"/>
          <w:szCs w:val="28"/>
        </w:rPr>
        <w:t>–</w:t>
      </w:r>
      <w:r w:rsidRPr="00294153">
        <w:rPr>
          <w:rFonts w:ascii="Times New Roman" w:hAnsi="Times New Roman"/>
          <w:sz w:val="28"/>
          <w:szCs w:val="28"/>
        </w:rPr>
        <w:t xml:space="preserve"> Республика</w:t>
      </w:r>
      <w:r w:rsidR="00166DD0" w:rsidRPr="00294153">
        <w:rPr>
          <w:rFonts w:ascii="Times New Roman" w:hAnsi="Times New Roman"/>
          <w:sz w:val="28"/>
          <w:szCs w:val="28"/>
        </w:rPr>
        <w:t xml:space="preserve"> </w:t>
      </w:r>
      <w:r w:rsidRPr="00294153">
        <w:rPr>
          <w:rFonts w:ascii="Times New Roman" w:hAnsi="Times New Roman"/>
          <w:sz w:val="28"/>
          <w:szCs w:val="28"/>
        </w:rPr>
        <w:t>Коми (9,9 баллов).</w:t>
      </w:r>
    </w:p>
    <w:p w14:paraId="2AB7B392" w14:textId="77777777"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Достопримечательности и туристические объекты маршрута Когалым </w:t>
      </w:r>
      <w:r w:rsidR="00166DD0" w:rsidRPr="00294153">
        <w:rPr>
          <w:rFonts w:ascii="Times New Roman" w:hAnsi="Times New Roman"/>
          <w:sz w:val="28"/>
          <w:szCs w:val="28"/>
        </w:rPr>
        <w:t>–</w:t>
      </w:r>
      <w:r w:rsidRPr="00294153">
        <w:rPr>
          <w:rFonts w:ascii="Times New Roman" w:hAnsi="Times New Roman"/>
          <w:sz w:val="28"/>
          <w:szCs w:val="28"/>
        </w:rPr>
        <w:t xml:space="preserve"> Сургутский район </w:t>
      </w:r>
      <w:r w:rsidR="00166DD0" w:rsidRPr="00294153">
        <w:rPr>
          <w:rFonts w:ascii="Times New Roman" w:hAnsi="Times New Roman"/>
          <w:sz w:val="28"/>
          <w:szCs w:val="28"/>
        </w:rPr>
        <w:t>–</w:t>
      </w:r>
      <w:r w:rsidRPr="00294153">
        <w:rPr>
          <w:rFonts w:ascii="Times New Roman" w:hAnsi="Times New Roman"/>
          <w:sz w:val="28"/>
          <w:szCs w:val="28"/>
        </w:rPr>
        <w:t xml:space="preserve"> Сургут </w:t>
      </w:r>
      <w:r w:rsidR="00166DD0" w:rsidRPr="00294153">
        <w:rPr>
          <w:rFonts w:ascii="Times New Roman" w:hAnsi="Times New Roman"/>
          <w:sz w:val="28"/>
          <w:szCs w:val="28"/>
        </w:rPr>
        <w:t>–</w:t>
      </w:r>
      <w:r w:rsidRPr="00294153">
        <w:rPr>
          <w:rFonts w:ascii="Times New Roman" w:hAnsi="Times New Roman"/>
          <w:sz w:val="28"/>
          <w:szCs w:val="28"/>
        </w:rPr>
        <w:t xml:space="preserve"> Ханты-Мансийск Югра признаны одними из лучших среди 23 Медиаразведок по разным регионам России в 2024 году.</w:t>
      </w:r>
    </w:p>
    <w:p w14:paraId="6470C326" w14:textId="2DE841E1" w:rsidR="00D562C9" w:rsidRPr="00294153" w:rsidRDefault="00D562C9" w:rsidP="00D562C9">
      <w:pPr>
        <w:pStyle w:val="a3"/>
        <w:spacing w:after="0" w:line="360" w:lineRule="auto"/>
        <w:ind w:left="0" w:firstLine="709"/>
        <w:contextualSpacing w:val="0"/>
        <w:jc w:val="both"/>
        <w:rPr>
          <w:rFonts w:ascii="Times New Roman" w:hAnsi="Times New Roman"/>
          <w:sz w:val="28"/>
          <w:szCs w:val="28"/>
        </w:rPr>
      </w:pPr>
      <w:r w:rsidRPr="00294153">
        <w:rPr>
          <w:rFonts w:ascii="Times New Roman" w:hAnsi="Times New Roman"/>
          <w:sz w:val="28"/>
          <w:szCs w:val="28"/>
        </w:rPr>
        <w:t xml:space="preserve">4. С 20 по 25 февраля 2024 года при поддержке Фонда развития Югры состоялась снегоходная медиаэкспедиция </w:t>
      </w:r>
      <w:r w:rsidR="00B01627" w:rsidRPr="00294153">
        <w:rPr>
          <w:rFonts w:ascii="Times New Roman" w:hAnsi="Times New Roman"/>
          <w:sz w:val="28"/>
          <w:szCs w:val="28"/>
        </w:rPr>
        <w:t>«</w:t>
      </w:r>
      <w:r w:rsidRPr="00294153">
        <w:rPr>
          <w:rFonts w:ascii="Times New Roman" w:hAnsi="Times New Roman"/>
          <w:sz w:val="28"/>
          <w:szCs w:val="28"/>
        </w:rPr>
        <w:t>Ugra Extreme</w:t>
      </w:r>
      <w:r w:rsidR="00B01627" w:rsidRPr="00294153">
        <w:rPr>
          <w:rFonts w:ascii="Times New Roman" w:hAnsi="Times New Roman"/>
          <w:sz w:val="28"/>
          <w:szCs w:val="28"/>
        </w:rPr>
        <w:t>»</w:t>
      </w:r>
      <w:r w:rsidRPr="00294153">
        <w:rPr>
          <w:rFonts w:ascii="Times New Roman" w:hAnsi="Times New Roman"/>
          <w:sz w:val="28"/>
          <w:szCs w:val="28"/>
        </w:rPr>
        <w:t xml:space="preserve"> (совместно с Федерацией альпинизма России) в целях категорирования гор</w:t>
      </w:r>
      <w:r w:rsidR="00E90BC5">
        <w:rPr>
          <w:rFonts w:ascii="Times New Roman" w:hAnsi="Times New Roman"/>
          <w:sz w:val="28"/>
          <w:szCs w:val="28"/>
        </w:rPr>
        <w:t>ы</w:t>
      </w:r>
      <w:r w:rsidRPr="00294153">
        <w:rPr>
          <w:rFonts w:ascii="Times New Roman" w:hAnsi="Times New Roman"/>
          <w:sz w:val="28"/>
          <w:szCs w:val="28"/>
        </w:rPr>
        <w:t xml:space="preserve"> Неройка для официальных экспедиционных маршрутов с присвоением сложности 1Б и повышения туристского потенциала Березовского района автономного округа как территории, ориентированной для экстремального и спортивного туризма.</w:t>
      </w:r>
    </w:p>
    <w:p w14:paraId="54FB8436"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lastRenderedPageBreak/>
        <w:t>На крупных событийных мероприятиях организованы интерактивные площадки ВизитЮгра, обеспечено информационное сопровождение и продвижение:</w:t>
      </w:r>
    </w:p>
    <w:p w14:paraId="500BEBAD"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Лыжня России;</w:t>
      </w:r>
    </w:p>
    <w:p w14:paraId="745D2070"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Югорский лыжный марафон 2024;</w:t>
      </w:r>
    </w:p>
    <w:p w14:paraId="33B26BAA"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Открытый туристский фестиваль г. Нягани им. Андрея Терезова;</w:t>
      </w:r>
    </w:p>
    <w:p w14:paraId="5ED91FB7"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xml:space="preserve">- </w:t>
      </w:r>
      <w:r w:rsidRPr="00294153">
        <w:rPr>
          <w:rFonts w:ascii="Times New Roman" w:hAnsi="Times New Roman"/>
          <w:sz w:val="28"/>
          <w:szCs w:val="28"/>
          <w:lang w:val="en-US"/>
        </w:rPr>
        <w:t>X</w:t>
      </w:r>
      <w:r w:rsidRPr="00294153">
        <w:rPr>
          <w:rFonts w:ascii="Times New Roman" w:hAnsi="Times New Roman"/>
          <w:sz w:val="28"/>
          <w:szCs w:val="28"/>
        </w:rPr>
        <w:t>-</w:t>
      </w:r>
      <w:r w:rsidRPr="00294153">
        <w:rPr>
          <w:rFonts w:ascii="Times New Roman" w:hAnsi="Times New Roman"/>
          <w:sz w:val="28"/>
          <w:szCs w:val="28"/>
          <w:lang w:val="en-US"/>
        </w:rPr>
        <w:t>Waters</w:t>
      </w:r>
      <w:r w:rsidRPr="00294153">
        <w:rPr>
          <w:rFonts w:ascii="Times New Roman" w:hAnsi="Times New Roman"/>
          <w:sz w:val="28"/>
          <w:szCs w:val="28"/>
        </w:rPr>
        <w:t xml:space="preserve"> </w:t>
      </w:r>
      <w:r w:rsidRPr="00294153">
        <w:rPr>
          <w:rFonts w:ascii="Times New Roman" w:hAnsi="Times New Roman"/>
          <w:sz w:val="28"/>
          <w:szCs w:val="28"/>
          <w:lang w:val="en-US"/>
        </w:rPr>
        <w:t>Ugra</w:t>
      </w:r>
      <w:r w:rsidRPr="00294153">
        <w:rPr>
          <w:rFonts w:ascii="Times New Roman" w:hAnsi="Times New Roman"/>
          <w:sz w:val="28"/>
          <w:szCs w:val="28"/>
        </w:rPr>
        <w:t xml:space="preserve"> 2024;</w:t>
      </w:r>
    </w:p>
    <w:p w14:paraId="4AA289D8" w14:textId="77777777" w:rsidR="00D562C9" w:rsidRPr="00294153" w:rsidRDefault="00D562C9" w:rsidP="00D562C9">
      <w:pPr>
        <w:pStyle w:val="a3"/>
        <w:spacing w:after="0" w:line="360" w:lineRule="auto"/>
        <w:ind w:left="0" w:firstLine="709"/>
        <w:jc w:val="both"/>
        <w:rPr>
          <w:rFonts w:ascii="Times New Roman" w:hAnsi="Times New Roman"/>
          <w:sz w:val="28"/>
          <w:szCs w:val="28"/>
        </w:rPr>
      </w:pPr>
      <w:r w:rsidRPr="00294153">
        <w:rPr>
          <w:rFonts w:ascii="Times New Roman" w:hAnsi="Times New Roman"/>
          <w:sz w:val="28"/>
          <w:szCs w:val="28"/>
        </w:rPr>
        <w:t>- ПикникХМ 2024.</w:t>
      </w:r>
    </w:p>
    <w:p w14:paraId="588EFF8E" w14:textId="77777777" w:rsidR="00A87D4D" w:rsidRPr="00294153" w:rsidRDefault="00A87D4D" w:rsidP="00572377">
      <w:pPr>
        <w:pStyle w:val="a3"/>
        <w:spacing w:after="0" w:line="360" w:lineRule="auto"/>
        <w:ind w:left="0" w:firstLine="709"/>
        <w:jc w:val="both"/>
        <w:rPr>
          <w:rFonts w:ascii="Times New Roman" w:hAnsi="Times New Roman" w:cs="Times New Roman"/>
          <w:b/>
          <w:sz w:val="28"/>
          <w:szCs w:val="28"/>
        </w:rPr>
      </w:pPr>
    </w:p>
    <w:p w14:paraId="00EECD7F" w14:textId="77777777" w:rsidR="00572377" w:rsidRPr="00294153" w:rsidRDefault="00A87D4D" w:rsidP="00572377">
      <w:pPr>
        <w:pStyle w:val="a3"/>
        <w:spacing w:after="0" w:line="360" w:lineRule="auto"/>
        <w:ind w:left="0" w:firstLine="709"/>
        <w:jc w:val="both"/>
        <w:rPr>
          <w:rFonts w:ascii="Times New Roman" w:hAnsi="Times New Roman" w:cs="Times New Roman"/>
          <w:sz w:val="28"/>
          <w:szCs w:val="28"/>
        </w:rPr>
      </w:pPr>
      <w:r w:rsidRPr="00294153">
        <w:rPr>
          <w:rFonts w:ascii="Times New Roman" w:hAnsi="Times New Roman" w:cs="Times New Roman"/>
          <w:b/>
          <w:sz w:val="28"/>
          <w:szCs w:val="28"/>
        </w:rPr>
        <w:t xml:space="preserve">Центр компетенции в сфере развития </w:t>
      </w:r>
      <w:r w:rsidR="003C70A3" w:rsidRPr="00294153">
        <w:rPr>
          <w:rFonts w:ascii="Times New Roman" w:hAnsi="Times New Roman" w:cs="Times New Roman"/>
          <w:b/>
          <w:sz w:val="28"/>
          <w:szCs w:val="28"/>
        </w:rPr>
        <w:t>сельскохозяйственной кооперации и поддержка фермеров</w:t>
      </w:r>
      <w:r w:rsidRPr="00294153">
        <w:rPr>
          <w:rFonts w:ascii="Times New Roman" w:hAnsi="Times New Roman" w:cs="Times New Roman"/>
          <w:b/>
          <w:sz w:val="28"/>
          <w:szCs w:val="28"/>
        </w:rPr>
        <w:t>.</w:t>
      </w:r>
      <w:r w:rsidR="003C70A3" w:rsidRPr="00294153">
        <w:rPr>
          <w:rFonts w:ascii="Times New Roman" w:hAnsi="Times New Roman" w:cs="Times New Roman"/>
          <w:sz w:val="28"/>
          <w:szCs w:val="28"/>
        </w:rPr>
        <w:t xml:space="preserve"> </w:t>
      </w:r>
    </w:p>
    <w:p w14:paraId="644E2B9F" w14:textId="77777777" w:rsidR="000D55D4" w:rsidRPr="00294153" w:rsidRDefault="00D562C9" w:rsidP="000D55D4">
      <w:pPr>
        <w:tabs>
          <w:tab w:val="left" w:pos="709"/>
        </w:tabs>
        <w:spacing w:after="0" w:line="360" w:lineRule="auto"/>
        <w:jc w:val="both"/>
        <w:rPr>
          <w:rFonts w:ascii="Times New Roman" w:hAnsi="Times New Roman"/>
          <w:iCs/>
          <w:sz w:val="28"/>
          <w:szCs w:val="28"/>
        </w:rPr>
      </w:pPr>
      <w:r w:rsidRPr="00294153">
        <w:rPr>
          <w:rFonts w:ascii="Times New Roman" w:eastAsia="Times New Roman" w:hAnsi="Times New Roman"/>
          <w:sz w:val="28"/>
          <w:szCs w:val="28"/>
          <w:lang w:eastAsia="ru-RU"/>
        </w:rPr>
        <w:tab/>
      </w:r>
      <w:r w:rsidR="000D55D4" w:rsidRPr="00294153">
        <w:rPr>
          <w:rFonts w:ascii="Times New Roman" w:hAnsi="Times New Roman"/>
          <w:iCs/>
          <w:sz w:val="28"/>
          <w:szCs w:val="28"/>
        </w:rPr>
        <w:t xml:space="preserve">В 2024 году организовано участие 11 товаропроизводителей Югры в </w:t>
      </w:r>
      <w:r w:rsidR="00166DD0" w:rsidRPr="00294153">
        <w:rPr>
          <w:rFonts w:ascii="Times New Roman" w:hAnsi="Times New Roman"/>
          <w:iCs/>
          <w:sz w:val="28"/>
          <w:szCs w:val="28"/>
        </w:rPr>
        <w:br/>
      </w:r>
      <w:r w:rsidR="000D55D4" w:rsidRPr="00294153">
        <w:rPr>
          <w:rFonts w:ascii="Times New Roman" w:hAnsi="Times New Roman"/>
          <w:iCs/>
          <w:sz w:val="28"/>
          <w:szCs w:val="28"/>
        </w:rPr>
        <w:t xml:space="preserve">31-й международной выставке </w:t>
      </w:r>
      <w:r w:rsidR="00B01627" w:rsidRPr="00294153">
        <w:rPr>
          <w:rFonts w:ascii="Times New Roman" w:hAnsi="Times New Roman"/>
          <w:iCs/>
          <w:sz w:val="28"/>
          <w:szCs w:val="28"/>
        </w:rPr>
        <w:t>«</w:t>
      </w:r>
      <w:r w:rsidR="000D55D4" w:rsidRPr="00294153">
        <w:rPr>
          <w:rFonts w:ascii="Times New Roman" w:hAnsi="Times New Roman"/>
          <w:iCs/>
          <w:sz w:val="28"/>
          <w:szCs w:val="28"/>
        </w:rPr>
        <w:t>ПРОДЭКСПО-2024</w:t>
      </w:r>
      <w:r w:rsidR="00B01627" w:rsidRPr="00294153">
        <w:rPr>
          <w:rFonts w:ascii="Times New Roman" w:hAnsi="Times New Roman"/>
          <w:iCs/>
          <w:sz w:val="28"/>
          <w:szCs w:val="28"/>
        </w:rPr>
        <w:t>»</w:t>
      </w:r>
      <w:r w:rsidR="000D55D4" w:rsidRPr="00294153">
        <w:rPr>
          <w:rFonts w:ascii="Times New Roman" w:hAnsi="Times New Roman"/>
          <w:iCs/>
          <w:sz w:val="28"/>
          <w:szCs w:val="28"/>
        </w:rPr>
        <w:t xml:space="preserve"> с застройкой индивидуального коллективного стенда. На стенде Югры были представлены колбасные изделия, рыбные консервы, продукция из оленины, грибы, кедровая продукция, кондитерские изделия с добавлением дикоросов, варенье и джемы, иван-чай, в том числе продукция компаний, которые являются сертифицированными производителями органической продукции.</w:t>
      </w:r>
      <w:r w:rsidR="00757F63" w:rsidRPr="00294153">
        <w:t xml:space="preserve"> </w:t>
      </w:r>
      <w:r w:rsidR="00757F63" w:rsidRPr="00294153">
        <w:rPr>
          <w:rFonts w:ascii="Times New Roman" w:hAnsi="Times New Roman"/>
          <w:iCs/>
          <w:sz w:val="28"/>
          <w:szCs w:val="28"/>
        </w:rPr>
        <w:t>По промежуточным итогам выставки между югорскими товаропроизводителями и федеральными и международными дистрибьютерами достигнуты договоренности о поставках продукции на сумму порядка 350 млн. руб. Это более 25 регионов Российской Федерации и 15 стран (ОАЭ, Монголия, Китай, Азербайджан, Турция, Казахстан, Узбекистан, Беларусь, Таджикистан, Кувейт, Канада, Иордания, Израиль, Корея, Кувейт).</w:t>
      </w:r>
    </w:p>
    <w:p w14:paraId="25EC4C3B"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Организовано участие в фермерской ярмарке, которая прошла с 5 по 10 марта в 48-м павильоне ВДНХ на Международной выставке-форуме </w:t>
      </w:r>
      <w:r w:rsidR="00B01627" w:rsidRPr="00294153">
        <w:rPr>
          <w:rFonts w:ascii="Times New Roman" w:hAnsi="Times New Roman"/>
          <w:iCs/>
          <w:sz w:val="28"/>
          <w:szCs w:val="28"/>
        </w:rPr>
        <w:t>«</w:t>
      </w:r>
      <w:r w:rsidRPr="00294153">
        <w:rPr>
          <w:rFonts w:ascii="Times New Roman" w:hAnsi="Times New Roman"/>
          <w:iCs/>
          <w:sz w:val="28"/>
          <w:szCs w:val="28"/>
        </w:rPr>
        <w:t>Россия</w:t>
      </w:r>
      <w:r w:rsidR="00B01627" w:rsidRPr="00294153">
        <w:rPr>
          <w:rFonts w:ascii="Times New Roman" w:hAnsi="Times New Roman"/>
          <w:iCs/>
          <w:sz w:val="28"/>
          <w:szCs w:val="28"/>
        </w:rPr>
        <w:t>»</w:t>
      </w:r>
      <w:r w:rsidR="00166DD0" w:rsidRPr="00294153">
        <w:rPr>
          <w:rFonts w:ascii="Times New Roman" w:hAnsi="Times New Roman"/>
          <w:iCs/>
          <w:sz w:val="28"/>
          <w:szCs w:val="28"/>
        </w:rPr>
        <w:t>,</w:t>
      </w:r>
      <w:r w:rsidRPr="00294153">
        <w:rPr>
          <w:rFonts w:ascii="Times New Roman" w:hAnsi="Times New Roman"/>
          <w:iCs/>
          <w:sz w:val="28"/>
          <w:szCs w:val="28"/>
        </w:rPr>
        <w:t xml:space="preserve"> продукцию югорских товаропроизводителей представил Сельскохозяйственный потребительский сбытовой кооператив </w:t>
      </w:r>
      <w:r w:rsidR="00B01627" w:rsidRPr="00294153">
        <w:rPr>
          <w:rFonts w:ascii="Times New Roman" w:hAnsi="Times New Roman"/>
          <w:iCs/>
          <w:sz w:val="28"/>
          <w:szCs w:val="28"/>
        </w:rPr>
        <w:t>«</w:t>
      </w:r>
      <w:r w:rsidRPr="00294153">
        <w:rPr>
          <w:rFonts w:ascii="Times New Roman" w:hAnsi="Times New Roman"/>
          <w:iCs/>
          <w:sz w:val="28"/>
          <w:szCs w:val="28"/>
        </w:rPr>
        <w:t>Ермак-Агро</w:t>
      </w:r>
      <w:r w:rsidR="00B01627" w:rsidRPr="00294153">
        <w:rPr>
          <w:rFonts w:ascii="Times New Roman" w:hAnsi="Times New Roman"/>
          <w:iCs/>
          <w:sz w:val="28"/>
          <w:szCs w:val="28"/>
        </w:rPr>
        <w:t>»</w:t>
      </w:r>
      <w:r w:rsidRPr="00294153">
        <w:rPr>
          <w:rFonts w:ascii="Times New Roman" w:hAnsi="Times New Roman"/>
          <w:iCs/>
          <w:sz w:val="28"/>
          <w:szCs w:val="28"/>
        </w:rPr>
        <w:t>.</w:t>
      </w:r>
      <w:r w:rsidR="00757F63" w:rsidRPr="00294153">
        <w:rPr>
          <w:rFonts w:ascii="Times New Roman" w:hAnsi="Times New Roman"/>
          <w:iCs/>
          <w:sz w:val="28"/>
          <w:szCs w:val="28"/>
        </w:rPr>
        <w:t xml:space="preserve"> По итогам ярмарки реализовано более 400 кг. продукции.</w:t>
      </w:r>
    </w:p>
    <w:p w14:paraId="75352DBA"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lastRenderedPageBreak/>
        <w:t xml:space="preserve">Организовано проведение весенней </w:t>
      </w:r>
      <w:r w:rsidR="00B01627" w:rsidRPr="00294153">
        <w:rPr>
          <w:rFonts w:ascii="Times New Roman" w:hAnsi="Times New Roman"/>
          <w:iCs/>
          <w:sz w:val="28"/>
          <w:szCs w:val="28"/>
        </w:rPr>
        <w:t>«</w:t>
      </w:r>
      <w:r w:rsidRPr="00294153">
        <w:rPr>
          <w:rFonts w:ascii="Times New Roman" w:hAnsi="Times New Roman"/>
          <w:iCs/>
          <w:sz w:val="28"/>
          <w:szCs w:val="28"/>
        </w:rPr>
        <w:t>Югорской фермерской ярмарки выходного дня</w:t>
      </w:r>
      <w:r w:rsidR="00B01627" w:rsidRPr="00294153">
        <w:rPr>
          <w:rFonts w:ascii="Times New Roman" w:hAnsi="Times New Roman"/>
          <w:iCs/>
          <w:sz w:val="28"/>
          <w:szCs w:val="28"/>
        </w:rPr>
        <w:t>»</w:t>
      </w:r>
      <w:r w:rsidRPr="00294153">
        <w:rPr>
          <w:rFonts w:ascii="Times New Roman" w:hAnsi="Times New Roman"/>
          <w:iCs/>
          <w:sz w:val="28"/>
          <w:szCs w:val="28"/>
        </w:rPr>
        <w:t xml:space="preserve">, которая прошла 16-17 марта в г. Ханты-Мансийске в КВЦ </w:t>
      </w:r>
      <w:r w:rsidR="00B01627" w:rsidRPr="00294153">
        <w:rPr>
          <w:rFonts w:ascii="Times New Roman" w:hAnsi="Times New Roman"/>
          <w:iCs/>
          <w:sz w:val="28"/>
          <w:szCs w:val="28"/>
        </w:rPr>
        <w:t>«</w:t>
      </w:r>
      <w:r w:rsidRPr="00294153">
        <w:rPr>
          <w:rFonts w:ascii="Times New Roman" w:hAnsi="Times New Roman"/>
          <w:iCs/>
          <w:sz w:val="28"/>
          <w:szCs w:val="28"/>
        </w:rPr>
        <w:t>Югра-Экспо</w:t>
      </w:r>
      <w:r w:rsidR="00B01627" w:rsidRPr="00294153">
        <w:rPr>
          <w:rFonts w:ascii="Times New Roman" w:hAnsi="Times New Roman"/>
          <w:iCs/>
          <w:sz w:val="28"/>
          <w:szCs w:val="28"/>
        </w:rPr>
        <w:t>»</w:t>
      </w:r>
      <w:r w:rsidRPr="00294153">
        <w:rPr>
          <w:rFonts w:ascii="Times New Roman" w:hAnsi="Times New Roman"/>
          <w:iCs/>
          <w:sz w:val="28"/>
          <w:szCs w:val="28"/>
        </w:rPr>
        <w:t>. В ярмарке приняли участие 52 товаропроизводителя из Югры, Тюменской и Свердловской областей и Ямало-Ненецкого автономного округа.</w:t>
      </w:r>
      <w:r w:rsidR="00757F63" w:rsidRPr="00294153">
        <w:rPr>
          <w:rFonts w:ascii="Times New Roman" w:hAnsi="Times New Roman"/>
          <w:iCs/>
          <w:sz w:val="28"/>
          <w:szCs w:val="28"/>
        </w:rPr>
        <w:t xml:space="preserve"> В честь празднования Масленицы гостей ярмарки угощали свежеиспеченными блинами, а также все желающие могли принять участие в развлекательной викторине, общая проходимость ярмарки составила 6500 человек, а выручка предпринимателей более 4 млн. руб. </w:t>
      </w:r>
    </w:p>
    <w:p w14:paraId="14281E8D"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Организован практический семинар от Академии Роскачества для товаропроизводителей Ханты-Мансийского автономного округа – Югры </w:t>
      </w:r>
      <w:r w:rsidR="00B01627" w:rsidRPr="00294153">
        <w:rPr>
          <w:rFonts w:ascii="Times New Roman" w:hAnsi="Times New Roman"/>
          <w:iCs/>
          <w:sz w:val="28"/>
          <w:szCs w:val="28"/>
        </w:rPr>
        <w:t>«</w:t>
      </w:r>
      <w:r w:rsidRPr="00294153">
        <w:rPr>
          <w:rFonts w:ascii="Times New Roman" w:hAnsi="Times New Roman"/>
          <w:iCs/>
          <w:sz w:val="28"/>
          <w:szCs w:val="28"/>
        </w:rPr>
        <w:t xml:space="preserve">Производство и сертификация продукции </w:t>
      </w:r>
      <w:r w:rsidR="00B01627" w:rsidRPr="00294153">
        <w:rPr>
          <w:rFonts w:ascii="Times New Roman" w:hAnsi="Times New Roman"/>
          <w:iCs/>
          <w:sz w:val="28"/>
          <w:szCs w:val="28"/>
        </w:rPr>
        <w:t>«</w:t>
      </w:r>
      <w:r w:rsidRPr="00294153">
        <w:rPr>
          <w:rFonts w:ascii="Times New Roman" w:hAnsi="Times New Roman"/>
          <w:iCs/>
          <w:sz w:val="28"/>
          <w:szCs w:val="28"/>
        </w:rPr>
        <w:t>Халяль</w:t>
      </w:r>
      <w:r w:rsidR="00B01627" w:rsidRPr="00294153">
        <w:rPr>
          <w:rFonts w:ascii="Times New Roman" w:hAnsi="Times New Roman"/>
          <w:iCs/>
          <w:sz w:val="28"/>
          <w:szCs w:val="28"/>
        </w:rPr>
        <w:t>»</w:t>
      </w:r>
      <w:r w:rsidRPr="00294153">
        <w:rPr>
          <w:rFonts w:ascii="Times New Roman" w:hAnsi="Times New Roman"/>
          <w:iCs/>
          <w:sz w:val="28"/>
          <w:szCs w:val="28"/>
        </w:rPr>
        <w:t>, который прошел в формате онлайн в период с 25 по 28 марта 2024 г. В состав обучающихся вошли 20 человек из числа руководителей и представителей югорских компаний, производящих пищевую продукцию.</w:t>
      </w:r>
    </w:p>
    <w:p w14:paraId="6228C2F0"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Организовано проведение дегустации продукции 6 товаропроизводителей автономного округа, представленной под товарным знаком </w:t>
      </w:r>
      <w:r w:rsidR="00B01627" w:rsidRPr="00294153">
        <w:rPr>
          <w:rFonts w:ascii="Times New Roman" w:hAnsi="Times New Roman"/>
          <w:iCs/>
          <w:sz w:val="28"/>
          <w:szCs w:val="28"/>
        </w:rPr>
        <w:t>«</w:t>
      </w:r>
      <w:r w:rsidRPr="00294153">
        <w:rPr>
          <w:rFonts w:ascii="Times New Roman" w:hAnsi="Times New Roman"/>
          <w:iCs/>
          <w:sz w:val="28"/>
          <w:szCs w:val="28"/>
        </w:rPr>
        <w:t>Сделано в Югре!</w:t>
      </w:r>
      <w:r w:rsidR="00B01627" w:rsidRPr="00294153">
        <w:rPr>
          <w:rFonts w:ascii="Times New Roman" w:hAnsi="Times New Roman"/>
          <w:iCs/>
          <w:sz w:val="28"/>
          <w:szCs w:val="28"/>
        </w:rPr>
        <w:t>»</w:t>
      </w:r>
      <w:r w:rsidRPr="00294153">
        <w:rPr>
          <w:rFonts w:ascii="Times New Roman" w:hAnsi="Times New Roman"/>
          <w:iCs/>
          <w:sz w:val="28"/>
          <w:szCs w:val="28"/>
        </w:rPr>
        <w:t xml:space="preserve">, которая прошла в гипермаркете </w:t>
      </w:r>
      <w:r w:rsidR="00B01627" w:rsidRPr="00294153">
        <w:rPr>
          <w:rFonts w:ascii="Times New Roman" w:hAnsi="Times New Roman"/>
          <w:iCs/>
          <w:sz w:val="28"/>
          <w:szCs w:val="28"/>
        </w:rPr>
        <w:t>«</w:t>
      </w:r>
      <w:r w:rsidRPr="00294153">
        <w:rPr>
          <w:rFonts w:ascii="Times New Roman" w:hAnsi="Times New Roman"/>
          <w:iCs/>
          <w:sz w:val="28"/>
          <w:szCs w:val="28"/>
        </w:rPr>
        <w:t>Магнит экстра</w:t>
      </w:r>
      <w:r w:rsidR="00B01627" w:rsidRPr="00294153">
        <w:rPr>
          <w:rFonts w:ascii="Times New Roman" w:hAnsi="Times New Roman"/>
          <w:iCs/>
          <w:sz w:val="28"/>
          <w:szCs w:val="28"/>
        </w:rPr>
        <w:t>»</w:t>
      </w:r>
      <w:r w:rsidRPr="00294153">
        <w:rPr>
          <w:rFonts w:ascii="Times New Roman" w:hAnsi="Times New Roman"/>
          <w:iCs/>
          <w:sz w:val="28"/>
          <w:szCs w:val="28"/>
        </w:rPr>
        <w:t xml:space="preserve"> города Сургута 4 мая 2024 г.</w:t>
      </w:r>
    </w:p>
    <w:p w14:paraId="50CB6879"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Представители Центра компетенций в сфере с/х кооперации и поддержки фермеров Фонда развития Югры приняли участие в составе делегации Ханты-Мансийского автономного округа – Югры на </w:t>
      </w:r>
      <w:r w:rsidR="00166DD0" w:rsidRPr="00294153">
        <w:rPr>
          <w:rFonts w:ascii="Times New Roman" w:hAnsi="Times New Roman"/>
          <w:iCs/>
          <w:sz w:val="28"/>
          <w:szCs w:val="28"/>
        </w:rPr>
        <w:br/>
      </w:r>
      <w:r w:rsidRPr="00294153">
        <w:rPr>
          <w:rFonts w:ascii="Times New Roman" w:hAnsi="Times New Roman"/>
          <w:iCs/>
          <w:sz w:val="28"/>
          <w:szCs w:val="28"/>
        </w:rPr>
        <w:t xml:space="preserve">XV Международном экономическом форуме </w:t>
      </w:r>
      <w:r w:rsidR="00B01627" w:rsidRPr="00294153">
        <w:rPr>
          <w:rFonts w:ascii="Times New Roman" w:hAnsi="Times New Roman"/>
          <w:iCs/>
          <w:sz w:val="28"/>
          <w:szCs w:val="28"/>
        </w:rPr>
        <w:t>«</w:t>
      </w:r>
      <w:r w:rsidRPr="00294153">
        <w:rPr>
          <w:rFonts w:ascii="Times New Roman" w:hAnsi="Times New Roman"/>
          <w:iCs/>
          <w:sz w:val="28"/>
          <w:szCs w:val="28"/>
        </w:rPr>
        <w:t>Россия – Исламский мир: KazanForum</w:t>
      </w:r>
      <w:r w:rsidR="00B01627" w:rsidRPr="00294153">
        <w:rPr>
          <w:rFonts w:ascii="Times New Roman" w:hAnsi="Times New Roman"/>
          <w:iCs/>
          <w:sz w:val="28"/>
          <w:szCs w:val="28"/>
        </w:rPr>
        <w:t>»</w:t>
      </w:r>
      <w:r w:rsidRPr="00294153">
        <w:rPr>
          <w:rFonts w:ascii="Times New Roman" w:hAnsi="Times New Roman"/>
          <w:iCs/>
          <w:sz w:val="28"/>
          <w:szCs w:val="28"/>
        </w:rPr>
        <w:t>.</w:t>
      </w:r>
    </w:p>
    <w:p w14:paraId="2673CA64"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7 компаний из Югры, специализирующихся на сборе и переработке дикоросов, в том числе отмеченных знаком </w:t>
      </w:r>
      <w:r w:rsidR="00B01627" w:rsidRPr="00294153">
        <w:rPr>
          <w:rFonts w:ascii="Times New Roman" w:hAnsi="Times New Roman"/>
          <w:iCs/>
          <w:sz w:val="28"/>
          <w:szCs w:val="28"/>
        </w:rPr>
        <w:t>«</w:t>
      </w:r>
      <w:r w:rsidRPr="00294153">
        <w:rPr>
          <w:rFonts w:ascii="Times New Roman" w:hAnsi="Times New Roman"/>
          <w:iCs/>
          <w:sz w:val="28"/>
          <w:szCs w:val="28"/>
        </w:rPr>
        <w:t>Органик</w:t>
      </w:r>
      <w:r w:rsidR="00B01627" w:rsidRPr="00294153">
        <w:rPr>
          <w:rFonts w:ascii="Times New Roman" w:hAnsi="Times New Roman"/>
          <w:iCs/>
          <w:sz w:val="28"/>
          <w:szCs w:val="28"/>
        </w:rPr>
        <w:t>»</w:t>
      </w:r>
      <w:r w:rsidRPr="00294153">
        <w:rPr>
          <w:rFonts w:ascii="Times New Roman" w:hAnsi="Times New Roman"/>
          <w:iCs/>
          <w:sz w:val="28"/>
          <w:szCs w:val="28"/>
        </w:rPr>
        <w:t xml:space="preserve"> и </w:t>
      </w:r>
      <w:r w:rsidR="00B01627" w:rsidRPr="00294153">
        <w:rPr>
          <w:rFonts w:ascii="Times New Roman" w:hAnsi="Times New Roman"/>
          <w:iCs/>
          <w:sz w:val="28"/>
          <w:szCs w:val="28"/>
        </w:rPr>
        <w:t>«</w:t>
      </w:r>
      <w:r w:rsidRPr="00294153">
        <w:rPr>
          <w:rFonts w:ascii="Times New Roman" w:hAnsi="Times New Roman"/>
          <w:iCs/>
          <w:sz w:val="28"/>
          <w:szCs w:val="28"/>
        </w:rPr>
        <w:t>Халяль</w:t>
      </w:r>
      <w:r w:rsidR="00B01627" w:rsidRPr="00294153">
        <w:rPr>
          <w:rFonts w:ascii="Times New Roman" w:hAnsi="Times New Roman"/>
          <w:iCs/>
          <w:sz w:val="28"/>
          <w:szCs w:val="28"/>
        </w:rPr>
        <w:t>»</w:t>
      </w:r>
      <w:r w:rsidRPr="00294153">
        <w:rPr>
          <w:rFonts w:ascii="Times New Roman" w:hAnsi="Times New Roman"/>
          <w:iCs/>
          <w:sz w:val="28"/>
          <w:szCs w:val="28"/>
        </w:rPr>
        <w:t xml:space="preserve">, приняли участие в выездной стажировке по направлению </w:t>
      </w:r>
      <w:r w:rsidR="00B01627" w:rsidRPr="00294153">
        <w:rPr>
          <w:rFonts w:ascii="Times New Roman" w:hAnsi="Times New Roman"/>
          <w:iCs/>
          <w:sz w:val="28"/>
          <w:szCs w:val="28"/>
        </w:rPr>
        <w:t>«</w:t>
      </w:r>
      <w:r w:rsidRPr="00294153">
        <w:rPr>
          <w:rFonts w:ascii="Times New Roman" w:hAnsi="Times New Roman"/>
          <w:iCs/>
          <w:sz w:val="28"/>
          <w:szCs w:val="28"/>
        </w:rPr>
        <w:t>Сбор, переработка дикоросов</w:t>
      </w:r>
      <w:r w:rsidR="00B01627" w:rsidRPr="00294153">
        <w:rPr>
          <w:rFonts w:ascii="Times New Roman" w:hAnsi="Times New Roman"/>
          <w:iCs/>
          <w:sz w:val="28"/>
          <w:szCs w:val="28"/>
        </w:rPr>
        <w:t>»</w:t>
      </w:r>
      <w:r w:rsidRPr="00294153">
        <w:rPr>
          <w:rFonts w:ascii="Times New Roman" w:hAnsi="Times New Roman"/>
          <w:iCs/>
          <w:sz w:val="28"/>
          <w:szCs w:val="28"/>
        </w:rPr>
        <w:t xml:space="preserve"> в Томской области.</w:t>
      </w:r>
    </w:p>
    <w:p w14:paraId="43282F67"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Организовано участие товаропроизводителей Ханты-Мансийского автономного округа – Югры в выставке органических продуктов BioFach </w:t>
      </w:r>
      <w:r w:rsidRPr="00294153">
        <w:rPr>
          <w:rFonts w:ascii="Times New Roman" w:hAnsi="Times New Roman"/>
          <w:iCs/>
          <w:sz w:val="28"/>
          <w:szCs w:val="28"/>
        </w:rPr>
        <w:lastRenderedPageBreak/>
        <w:t xml:space="preserve">China-2024 в городе Шанхай на коллективной экспозиции, организованной АНО </w:t>
      </w:r>
      <w:r w:rsidR="00B01627" w:rsidRPr="00294153">
        <w:rPr>
          <w:rFonts w:ascii="Times New Roman" w:hAnsi="Times New Roman"/>
          <w:iCs/>
          <w:sz w:val="28"/>
          <w:szCs w:val="28"/>
        </w:rPr>
        <w:t>«</w:t>
      </w:r>
      <w:r w:rsidRPr="00294153">
        <w:rPr>
          <w:rFonts w:ascii="Times New Roman" w:hAnsi="Times New Roman"/>
          <w:iCs/>
          <w:sz w:val="28"/>
          <w:szCs w:val="28"/>
        </w:rPr>
        <w:t>Российская система качества</w:t>
      </w:r>
      <w:r w:rsidR="00B01627" w:rsidRPr="00294153">
        <w:rPr>
          <w:rFonts w:ascii="Times New Roman" w:hAnsi="Times New Roman"/>
          <w:iCs/>
          <w:sz w:val="28"/>
          <w:szCs w:val="28"/>
        </w:rPr>
        <w:t>»</w:t>
      </w:r>
      <w:r w:rsidRPr="00294153">
        <w:rPr>
          <w:rFonts w:ascii="Times New Roman" w:hAnsi="Times New Roman"/>
          <w:iCs/>
          <w:sz w:val="28"/>
          <w:szCs w:val="28"/>
        </w:rPr>
        <w:t>.</w:t>
      </w:r>
    </w:p>
    <w:p w14:paraId="77AF4A6C"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В 2024 году стенд российской органической продукции впервые представлен на международной выставке Biofach China, которая прошла в Шанхае с 13 по 15 июня. В выставке принимали участие 18 производителей органической продукции из России, а также Союз органического земледелия.</w:t>
      </w:r>
    </w:p>
    <w:p w14:paraId="1AC7006E" w14:textId="77777777" w:rsidR="00757F63" w:rsidRPr="00294153" w:rsidRDefault="00757F63"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Посетители выставки проявили высокий интерес к югорской продукции, а товаропроизводители в свою очередь имеют потенциал ежемесячных поставок продукции в КНР объемом более 160 тонн в сумме порядка 87 млн. руб.</w:t>
      </w:r>
    </w:p>
    <w:p w14:paraId="5F6844B7"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20 июня 2024 г. организовано проведение онлайн-практикума в формате видеоконференцсвязи на тему: </w:t>
      </w:r>
      <w:r w:rsidR="00B01627" w:rsidRPr="00294153">
        <w:rPr>
          <w:rFonts w:ascii="Times New Roman" w:hAnsi="Times New Roman"/>
          <w:iCs/>
          <w:sz w:val="28"/>
          <w:szCs w:val="28"/>
        </w:rPr>
        <w:t>«</w:t>
      </w:r>
      <w:r w:rsidRPr="00294153">
        <w:rPr>
          <w:rFonts w:ascii="Times New Roman" w:hAnsi="Times New Roman"/>
          <w:iCs/>
          <w:sz w:val="28"/>
          <w:szCs w:val="28"/>
        </w:rPr>
        <w:t xml:space="preserve">Работа с порталом предоставления мер финансовой государственной поддержки (система </w:t>
      </w:r>
      <w:r w:rsidR="00B01627" w:rsidRPr="00294153">
        <w:rPr>
          <w:rFonts w:ascii="Times New Roman" w:hAnsi="Times New Roman"/>
          <w:iCs/>
          <w:sz w:val="28"/>
          <w:szCs w:val="28"/>
        </w:rPr>
        <w:t>«</w:t>
      </w:r>
      <w:r w:rsidRPr="00294153">
        <w:rPr>
          <w:rFonts w:ascii="Times New Roman" w:hAnsi="Times New Roman"/>
          <w:iCs/>
          <w:sz w:val="28"/>
          <w:szCs w:val="28"/>
        </w:rPr>
        <w:t>Электронный бюджет</w:t>
      </w:r>
      <w:r w:rsidR="00B01627" w:rsidRPr="00294153">
        <w:rPr>
          <w:rFonts w:ascii="Times New Roman" w:hAnsi="Times New Roman"/>
          <w:iCs/>
          <w:sz w:val="28"/>
          <w:szCs w:val="28"/>
        </w:rPr>
        <w:t>»</w:t>
      </w:r>
      <w:r w:rsidRPr="00294153">
        <w:rPr>
          <w:rFonts w:ascii="Times New Roman" w:hAnsi="Times New Roman"/>
          <w:iCs/>
          <w:sz w:val="28"/>
          <w:szCs w:val="28"/>
        </w:rPr>
        <w:t>): руководство участников отбора</w:t>
      </w:r>
      <w:r w:rsidR="00B01627" w:rsidRPr="00294153">
        <w:rPr>
          <w:rFonts w:ascii="Times New Roman" w:hAnsi="Times New Roman"/>
          <w:iCs/>
          <w:sz w:val="28"/>
          <w:szCs w:val="28"/>
        </w:rPr>
        <w:t>»</w:t>
      </w:r>
      <w:r w:rsidRPr="00294153">
        <w:rPr>
          <w:rFonts w:ascii="Times New Roman" w:hAnsi="Times New Roman"/>
          <w:iCs/>
          <w:sz w:val="28"/>
          <w:szCs w:val="28"/>
        </w:rPr>
        <w:t>. Всего в семинаре приняли участие около 200 человек: сельхозтоваропроизводителей и сотрудников органов местного самоуправления.</w:t>
      </w:r>
    </w:p>
    <w:p w14:paraId="3E2108A2"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С 25 по 27 июня организовано проведение выездной стажировки в Ямало-Ненецкий автономный округ по направлению </w:t>
      </w:r>
      <w:r w:rsidR="00B01627" w:rsidRPr="00294153">
        <w:rPr>
          <w:rFonts w:ascii="Times New Roman" w:hAnsi="Times New Roman"/>
          <w:iCs/>
          <w:sz w:val="28"/>
          <w:szCs w:val="28"/>
        </w:rPr>
        <w:t>«</w:t>
      </w:r>
      <w:r w:rsidRPr="00294153">
        <w:rPr>
          <w:rFonts w:ascii="Times New Roman" w:hAnsi="Times New Roman"/>
          <w:iCs/>
          <w:sz w:val="28"/>
          <w:szCs w:val="28"/>
        </w:rPr>
        <w:t>Рыбохозяйственный комплекс, оленеводство</w:t>
      </w:r>
      <w:r w:rsidR="00B01627" w:rsidRPr="00294153">
        <w:rPr>
          <w:rFonts w:ascii="Times New Roman" w:hAnsi="Times New Roman"/>
          <w:iCs/>
          <w:sz w:val="28"/>
          <w:szCs w:val="28"/>
        </w:rPr>
        <w:t>»</w:t>
      </w:r>
      <w:r w:rsidRPr="00294153">
        <w:rPr>
          <w:rFonts w:ascii="Times New Roman" w:hAnsi="Times New Roman"/>
          <w:iCs/>
          <w:sz w:val="28"/>
          <w:szCs w:val="28"/>
        </w:rPr>
        <w:t xml:space="preserve">. </w:t>
      </w:r>
    </w:p>
    <w:p w14:paraId="1454F4C3"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С 6 по 9 июля в г. Москве прошел гастрономический фестиваль </w:t>
      </w:r>
      <w:r w:rsidR="00B01627" w:rsidRPr="00294153">
        <w:rPr>
          <w:rFonts w:ascii="Times New Roman" w:hAnsi="Times New Roman"/>
          <w:iCs/>
          <w:sz w:val="28"/>
          <w:szCs w:val="28"/>
        </w:rPr>
        <w:t>«</w:t>
      </w:r>
      <w:r w:rsidRPr="00294153">
        <w:rPr>
          <w:rFonts w:ascii="Times New Roman" w:hAnsi="Times New Roman"/>
          <w:iCs/>
          <w:sz w:val="28"/>
          <w:szCs w:val="28"/>
        </w:rPr>
        <w:t>Вкусы России</w:t>
      </w:r>
      <w:r w:rsidR="00B01627" w:rsidRPr="00294153">
        <w:rPr>
          <w:rFonts w:ascii="Times New Roman" w:hAnsi="Times New Roman"/>
          <w:iCs/>
          <w:sz w:val="28"/>
          <w:szCs w:val="28"/>
        </w:rPr>
        <w:t>»</w:t>
      </w:r>
      <w:r w:rsidRPr="00294153">
        <w:rPr>
          <w:rFonts w:ascii="Times New Roman" w:hAnsi="Times New Roman"/>
          <w:iCs/>
          <w:sz w:val="28"/>
          <w:szCs w:val="28"/>
        </w:rPr>
        <w:t>, в котором приняли участие 11 сельхозтоваропроизводителей Ханты-Мансийского автономного округа – Югры.</w:t>
      </w:r>
      <w:r w:rsidR="00757F63" w:rsidRPr="00294153">
        <w:rPr>
          <w:rFonts w:ascii="Times New Roman" w:hAnsi="Times New Roman"/>
          <w:iCs/>
          <w:sz w:val="28"/>
          <w:szCs w:val="28"/>
        </w:rPr>
        <w:t xml:space="preserve"> Было продано около 400 кг. рыбных и мясных консервов; более 50 кг. сладостей (мармелад, шоколад); более 10 кг. сушёных грибов; 100 кг. моченой ягоды, сиропов и варенья; 70 шт. чипсов из ягеля, 10 кг. кедрового ореха.</w:t>
      </w:r>
    </w:p>
    <w:p w14:paraId="1A3EA260" w14:textId="77777777" w:rsidR="000D55D4"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Фондом развития Югры при поддержке СПСК </w:t>
      </w:r>
      <w:r w:rsidR="00B01627" w:rsidRPr="00294153">
        <w:rPr>
          <w:rFonts w:ascii="Times New Roman" w:hAnsi="Times New Roman"/>
          <w:iCs/>
          <w:sz w:val="28"/>
          <w:szCs w:val="28"/>
        </w:rPr>
        <w:t>«</w:t>
      </w:r>
      <w:r w:rsidRPr="00294153">
        <w:rPr>
          <w:rFonts w:ascii="Times New Roman" w:hAnsi="Times New Roman"/>
          <w:iCs/>
          <w:sz w:val="28"/>
          <w:szCs w:val="28"/>
        </w:rPr>
        <w:t>Ермак-Агро</w:t>
      </w:r>
      <w:r w:rsidR="00B01627" w:rsidRPr="00294153">
        <w:rPr>
          <w:rFonts w:ascii="Times New Roman" w:hAnsi="Times New Roman"/>
          <w:iCs/>
          <w:sz w:val="28"/>
          <w:szCs w:val="28"/>
        </w:rPr>
        <w:t>»</w:t>
      </w:r>
      <w:r w:rsidRPr="00294153">
        <w:rPr>
          <w:rFonts w:ascii="Times New Roman" w:hAnsi="Times New Roman"/>
          <w:iCs/>
          <w:sz w:val="28"/>
          <w:szCs w:val="28"/>
        </w:rPr>
        <w:t xml:space="preserve"> 13 июля 2024 г. была организована дегустационная зона продукции товаропроизводителей Ханты-Мансийского автономного округа – Югры в рамках тематической встречи для муниципального сообщества страны в мастерской управления </w:t>
      </w:r>
      <w:r w:rsidR="00B01627" w:rsidRPr="00294153">
        <w:rPr>
          <w:rFonts w:ascii="Times New Roman" w:hAnsi="Times New Roman"/>
          <w:iCs/>
          <w:sz w:val="28"/>
          <w:szCs w:val="28"/>
        </w:rPr>
        <w:t>«</w:t>
      </w:r>
      <w:r w:rsidRPr="00294153">
        <w:rPr>
          <w:rFonts w:ascii="Times New Roman" w:hAnsi="Times New Roman"/>
          <w:iCs/>
          <w:sz w:val="28"/>
          <w:szCs w:val="28"/>
        </w:rPr>
        <w:t>СЕНЕЖ</w:t>
      </w:r>
      <w:r w:rsidR="00B01627" w:rsidRPr="00294153">
        <w:rPr>
          <w:rFonts w:ascii="Times New Roman" w:hAnsi="Times New Roman"/>
          <w:iCs/>
          <w:sz w:val="28"/>
          <w:szCs w:val="28"/>
        </w:rPr>
        <w:t>»</w:t>
      </w:r>
      <w:r w:rsidRPr="00294153">
        <w:rPr>
          <w:rFonts w:ascii="Times New Roman" w:hAnsi="Times New Roman"/>
          <w:iCs/>
          <w:sz w:val="28"/>
          <w:szCs w:val="28"/>
        </w:rPr>
        <w:t xml:space="preserve"> (г. Солнечногорск).</w:t>
      </w:r>
    </w:p>
    <w:p w14:paraId="6FE805ED" w14:textId="77777777" w:rsidR="001820D1" w:rsidRPr="00294153" w:rsidRDefault="001820D1" w:rsidP="001820D1">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lastRenderedPageBreak/>
        <w:t>С 22 по 24 августа 2024 года в Тюмени в ДК «Нефтяник» прошел XII международный бизнес-форум «Мой бизнес». На полях форума подписано соглашение о сотрудничестве между Фондом «Инвестиционное агентство Тюменской области», Фондом поддержки предпринимательства Югры «Мой Бизнес», Фондом развития Ханты-Мансийского автономного округа – Югры.</w:t>
      </w:r>
    </w:p>
    <w:p w14:paraId="3338591F"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В период с 7 по 8 сентября на территории г. Ханты-Мансийска впервые прошёл фермерский фестиваль </w:t>
      </w:r>
      <w:r w:rsidR="00B01627" w:rsidRPr="00294153">
        <w:rPr>
          <w:rFonts w:ascii="Times New Roman" w:hAnsi="Times New Roman"/>
          <w:iCs/>
          <w:sz w:val="28"/>
          <w:szCs w:val="28"/>
        </w:rPr>
        <w:t>«</w:t>
      </w:r>
      <w:r w:rsidRPr="00294153">
        <w:rPr>
          <w:rFonts w:ascii="Times New Roman" w:hAnsi="Times New Roman"/>
          <w:iCs/>
          <w:sz w:val="28"/>
          <w:szCs w:val="28"/>
        </w:rPr>
        <w:t>СВОЁ</w:t>
      </w:r>
      <w:r w:rsidR="00B01627" w:rsidRPr="00294153">
        <w:rPr>
          <w:rFonts w:ascii="Times New Roman" w:hAnsi="Times New Roman"/>
          <w:iCs/>
          <w:sz w:val="28"/>
          <w:szCs w:val="28"/>
        </w:rPr>
        <w:t>»</w:t>
      </w:r>
      <w:r w:rsidRPr="00294153">
        <w:rPr>
          <w:rFonts w:ascii="Times New Roman" w:hAnsi="Times New Roman"/>
          <w:iCs/>
          <w:sz w:val="28"/>
          <w:szCs w:val="28"/>
        </w:rPr>
        <w:t xml:space="preserve">, организованный Россельхозбанком совместно с Правительством Ханты-Мансийского автономного округа – Югры, Администрацией города Ханты-Мансийска и Фондом развития Югры. За два дня фестиваль посетили 19,5 тысяч жителей и гостей города, приобрели почти 6,8 тонн вкусной фермерской продукции, а выручка фермеров превысила 10 млн. рублей. Фестиваль стал одним из крупнейших по объёму реализованной продукции и лидером по результатам продаж среди регионов. На фестивале представили свою продукцию 100 товаропроизводителей Ханты-Мансийского автономного округа – Югры и соседних регионов. </w:t>
      </w:r>
    </w:p>
    <w:p w14:paraId="13BFD634"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С 17 по 20 сентября 2024 года в г. Красногорске (Московская область) на территории МВЦ </w:t>
      </w:r>
      <w:r w:rsidR="00B01627" w:rsidRPr="00294153">
        <w:rPr>
          <w:rFonts w:ascii="Times New Roman" w:hAnsi="Times New Roman"/>
          <w:iCs/>
          <w:sz w:val="28"/>
          <w:szCs w:val="28"/>
        </w:rPr>
        <w:t>«</w:t>
      </w:r>
      <w:r w:rsidRPr="00294153">
        <w:rPr>
          <w:rFonts w:ascii="Times New Roman" w:hAnsi="Times New Roman"/>
          <w:iCs/>
          <w:sz w:val="28"/>
          <w:szCs w:val="28"/>
        </w:rPr>
        <w:t>Крокус Экспо</w:t>
      </w:r>
      <w:r w:rsidR="00B01627" w:rsidRPr="00294153">
        <w:rPr>
          <w:rFonts w:ascii="Times New Roman" w:hAnsi="Times New Roman"/>
          <w:iCs/>
          <w:sz w:val="28"/>
          <w:szCs w:val="28"/>
        </w:rPr>
        <w:t>»</w:t>
      </w:r>
      <w:r w:rsidRPr="00294153">
        <w:rPr>
          <w:rFonts w:ascii="Times New Roman" w:hAnsi="Times New Roman"/>
          <w:iCs/>
          <w:sz w:val="28"/>
          <w:szCs w:val="28"/>
        </w:rPr>
        <w:t xml:space="preserve"> состоялась 33-ая Международная осенняя выставка продуктов питания WorldFood Moscow</w:t>
      </w:r>
      <w:r w:rsidR="001820D1">
        <w:rPr>
          <w:rFonts w:ascii="Times New Roman" w:hAnsi="Times New Roman"/>
          <w:iCs/>
          <w:sz w:val="28"/>
          <w:szCs w:val="28"/>
        </w:rPr>
        <w:t>.</w:t>
      </w:r>
      <w:r w:rsidRPr="00294153">
        <w:rPr>
          <w:rFonts w:ascii="Times New Roman" w:hAnsi="Times New Roman"/>
          <w:iCs/>
          <w:sz w:val="28"/>
          <w:szCs w:val="28"/>
        </w:rPr>
        <w:t xml:space="preserve"> Также в Выставке с коллективным стендом приняли участие 9 югорских товаропроизводителей.</w:t>
      </w:r>
    </w:p>
    <w:p w14:paraId="4189377F"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Помимо выставочной части, югорские товаропроизводители приняли участие в дегустационном конкурсе </w:t>
      </w:r>
      <w:r w:rsidR="00B01627" w:rsidRPr="00294153">
        <w:rPr>
          <w:rFonts w:ascii="Times New Roman" w:hAnsi="Times New Roman"/>
          <w:iCs/>
          <w:sz w:val="28"/>
          <w:szCs w:val="28"/>
        </w:rPr>
        <w:t>«</w:t>
      </w:r>
      <w:r w:rsidRPr="00294153">
        <w:rPr>
          <w:rFonts w:ascii="Times New Roman" w:hAnsi="Times New Roman"/>
          <w:iCs/>
          <w:sz w:val="28"/>
          <w:szCs w:val="28"/>
        </w:rPr>
        <w:t>Продукт года</w:t>
      </w:r>
      <w:r w:rsidR="00B01627" w:rsidRPr="00294153">
        <w:rPr>
          <w:rFonts w:ascii="Times New Roman" w:hAnsi="Times New Roman"/>
          <w:iCs/>
          <w:sz w:val="28"/>
          <w:szCs w:val="28"/>
        </w:rPr>
        <w:t>»</w:t>
      </w:r>
      <w:r w:rsidRPr="00294153">
        <w:rPr>
          <w:rFonts w:ascii="Times New Roman" w:hAnsi="Times New Roman"/>
          <w:iCs/>
          <w:sz w:val="28"/>
          <w:szCs w:val="28"/>
        </w:rPr>
        <w:t xml:space="preserve">. По итогам конкурса продукция югорских товаропроизводителей отмечена бронзовой и серебряной медалями в категории </w:t>
      </w:r>
      <w:r w:rsidR="00B01627" w:rsidRPr="00294153">
        <w:rPr>
          <w:rFonts w:ascii="Times New Roman" w:hAnsi="Times New Roman"/>
          <w:iCs/>
          <w:sz w:val="28"/>
          <w:szCs w:val="28"/>
        </w:rPr>
        <w:t>«</w:t>
      </w:r>
      <w:r w:rsidRPr="00294153">
        <w:rPr>
          <w:rFonts w:ascii="Times New Roman" w:hAnsi="Times New Roman"/>
          <w:iCs/>
          <w:sz w:val="28"/>
          <w:szCs w:val="28"/>
        </w:rPr>
        <w:t>Продукты здорового и диетического питания, органическая продукция</w:t>
      </w:r>
      <w:r w:rsidR="00B01627" w:rsidRPr="00294153">
        <w:rPr>
          <w:rFonts w:ascii="Times New Roman" w:hAnsi="Times New Roman"/>
          <w:iCs/>
          <w:sz w:val="28"/>
          <w:szCs w:val="28"/>
        </w:rPr>
        <w:t>»</w:t>
      </w:r>
      <w:r w:rsidRPr="00294153">
        <w:rPr>
          <w:rFonts w:ascii="Times New Roman" w:hAnsi="Times New Roman"/>
          <w:iCs/>
          <w:sz w:val="28"/>
          <w:szCs w:val="28"/>
        </w:rPr>
        <w:t xml:space="preserve">, золотой медалью в категории </w:t>
      </w:r>
      <w:r w:rsidR="00B01627" w:rsidRPr="00294153">
        <w:rPr>
          <w:rFonts w:ascii="Times New Roman" w:hAnsi="Times New Roman"/>
          <w:iCs/>
          <w:sz w:val="28"/>
          <w:szCs w:val="28"/>
        </w:rPr>
        <w:t>«</w:t>
      </w:r>
      <w:r w:rsidRPr="00294153">
        <w:rPr>
          <w:rFonts w:ascii="Times New Roman" w:hAnsi="Times New Roman"/>
          <w:iCs/>
          <w:sz w:val="28"/>
          <w:szCs w:val="28"/>
        </w:rPr>
        <w:t>Кондитерские изделия</w:t>
      </w:r>
      <w:r w:rsidR="00B01627" w:rsidRPr="00294153">
        <w:rPr>
          <w:rFonts w:ascii="Times New Roman" w:hAnsi="Times New Roman"/>
          <w:iCs/>
          <w:sz w:val="28"/>
          <w:szCs w:val="28"/>
        </w:rPr>
        <w:t>»</w:t>
      </w:r>
      <w:r w:rsidRPr="00294153">
        <w:rPr>
          <w:rFonts w:ascii="Times New Roman" w:hAnsi="Times New Roman"/>
          <w:iCs/>
          <w:sz w:val="28"/>
          <w:szCs w:val="28"/>
        </w:rPr>
        <w:t xml:space="preserve">, золотой медалью в категории </w:t>
      </w:r>
      <w:r w:rsidR="00B01627" w:rsidRPr="00294153">
        <w:rPr>
          <w:rFonts w:ascii="Times New Roman" w:hAnsi="Times New Roman"/>
          <w:iCs/>
          <w:sz w:val="28"/>
          <w:szCs w:val="28"/>
        </w:rPr>
        <w:t>«</w:t>
      </w:r>
      <w:r w:rsidRPr="00294153">
        <w:rPr>
          <w:rFonts w:ascii="Times New Roman" w:hAnsi="Times New Roman"/>
          <w:iCs/>
          <w:sz w:val="28"/>
          <w:szCs w:val="28"/>
        </w:rPr>
        <w:t>Плодовоовощная продукция, ягоды, зелень</w:t>
      </w:r>
      <w:r w:rsidR="00B01627" w:rsidRPr="00294153">
        <w:rPr>
          <w:rFonts w:ascii="Times New Roman" w:hAnsi="Times New Roman"/>
          <w:iCs/>
          <w:sz w:val="28"/>
          <w:szCs w:val="28"/>
        </w:rPr>
        <w:t>»</w:t>
      </w:r>
      <w:r w:rsidRPr="00294153">
        <w:rPr>
          <w:rFonts w:ascii="Times New Roman" w:hAnsi="Times New Roman"/>
          <w:iCs/>
          <w:sz w:val="28"/>
          <w:szCs w:val="28"/>
        </w:rPr>
        <w:t>.</w:t>
      </w:r>
    </w:p>
    <w:p w14:paraId="4822DC3A" w14:textId="77777777" w:rsidR="008B17F7" w:rsidRPr="00294153" w:rsidRDefault="008B17F7"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По промежуточным итогам выставки между югорскими товаропроизводителями и федеральными и международными дистрибьютерами достигнуты договоренности о поставках продукции на сумму более 300 млн. руб. в более чем 15 регионов Российской Федерации и </w:t>
      </w:r>
      <w:r w:rsidRPr="00294153">
        <w:rPr>
          <w:rFonts w:ascii="Times New Roman" w:hAnsi="Times New Roman"/>
          <w:iCs/>
          <w:sz w:val="28"/>
          <w:szCs w:val="28"/>
        </w:rPr>
        <w:lastRenderedPageBreak/>
        <w:t>11 стран (Армения, Туркменистан, Китай, Узбекистан, Турция, Беларусь, Казахстан, Израиль, Киргизия, Индия, Германия).</w:t>
      </w:r>
    </w:p>
    <w:p w14:paraId="7C6775C8"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В период с 23 сентября 2024 года по 10 декабря 2024 года проведен федеральный образовательный проект Россельхозбанка </w:t>
      </w:r>
      <w:r w:rsidR="00B01627" w:rsidRPr="00294153">
        <w:rPr>
          <w:rFonts w:ascii="Times New Roman" w:hAnsi="Times New Roman"/>
          <w:iCs/>
          <w:sz w:val="28"/>
          <w:szCs w:val="28"/>
        </w:rPr>
        <w:t>«</w:t>
      </w:r>
      <w:r w:rsidRPr="00294153">
        <w:rPr>
          <w:rFonts w:ascii="Times New Roman" w:hAnsi="Times New Roman"/>
          <w:iCs/>
          <w:sz w:val="28"/>
          <w:szCs w:val="28"/>
        </w:rPr>
        <w:t>Школа фермера</w:t>
      </w:r>
      <w:r w:rsidR="00B01627" w:rsidRPr="00294153">
        <w:rPr>
          <w:rFonts w:ascii="Times New Roman" w:hAnsi="Times New Roman"/>
          <w:iCs/>
          <w:sz w:val="28"/>
          <w:szCs w:val="28"/>
        </w:rPr>
        <w:t>»</w:t>
      </w:r>
      <w:r w:rsidRPr="00294153">
        <w:rPr>
          <w:rFonts w:ascii="Times New Roman" w:hAnsi="Times New Roman"/>
          <w:iCs/>
          <w:sz w:val="28"/>
          <w:szCs w:val="28"/>
        </w:rPr>
        <w:t>, который реализуется с целью теоретического и практического обучения профессиональных кадров для сельского хозяйства. Обучение прошли 30 человек из 18 муниципальных образований Югры.</w:t>
      </w:r>
    </w:p>
    <w:p w14:paraId="281E7C42"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bCs/>
          <w:sz w:val="28"/>
          <w:szCs w:val="28"/>
          <w:lang w:eastAsia="zh-CN"/>
        </w:rPr>
      </w:pPr>
      <w:r w:rsidRPr="00294153">
        <w:rPr>
          <w:rFonts w:ascii="Times New Roman" w:hAnsi="Times New Roman"/>
          <w:sz w:val="28"/>
          <w:szCs w:val="28"/>
          <w:lang w:eastAsia="zh-CN"/>
        </w:rPr>
        <w:t xml:space="preserve">С 26 по 28 сентября </w:t>
      </w:r>
      <w:r w:rsidRPr="00294153">
        <w:rPr>
          <w:rFonts w:ascii="Times New Roman" w:hAnsi="Times New Roman"/>
          <w:bCs/>
          <w:sz w:val="28"/>
          <w:szCs w:val="28"/>
          <w:lang w:eastAsia="zh-CN"/>
        </w:rPr>
        <w:t xml:space="preserve">на площадке КВЦ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Югра-Экспо</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xml:space="preserve"> прошла </w:t>
      </w:r>
      <w:r w:rsidRPr="00294153">
        <w:rPr>
          <w:rFonts w:ascii="Times New Roman" w:hAnsi="Times New Roman"/>
          <w:bCs/>
          <w:sz w:val="28"/>
          <w:szCs w:val="28"/>
          <w:lang w:val="en-US" w:eastAsia="zh-CN"/>
        </w:rPr>
        <w:t>XII</w:t>
      </w:r>
      <w:r w:rsidRPr="00294153">
        <w:rPr>
          <w:rFonts w:ascii="Times New Roman" w:hAnsi="Times New Roman"/>
          <w:bCs/>
          <w:sz w:val="28"/>
          <w:szCs w:val="28"/>
          <w:lang w:eastAsia="zh-CN"/>
        </w:rPr>
        <w:t xml:space="preserve"> Межрегиональная агропромышленная выставка Уральского федерального округа (далее – Выставка). По итогам дегустационного конкурса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Лучший продукт – 2024</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xml:space="preserve"> в рамках Выставки производители Югры удостоены 26 золотых и 10 серебряных медалей. </w:t>
      </w:r>
    </w:p>
    <w:p w14:paraId="3491BA88"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bCs/>
          <w:sz w:val="28"/>
          <w:szCs w:val="28"/>
          <w:lang w:eastAsia="zh-CN"/>
        </w:rPr>
      </w:pPr>
      <w:r w:rsidRPr="00294153">
        <w:rPr>
          <w:rFonts w:ascii="Times New Roman" w:hAnsi="Times New Roman"/>
          <w:bCs/>
          <w:sz w:val="28"/>
          <w:szCs w:val="28"/>
          <w:lang w:eastAsia="zh-CN"/>
        </w:rPr>
        <w:t xml:space="preserve">В период с 9 по 12 октября 2024 года на территории г. Москва на территории ВЦ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Тимирязев</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xml:space="preserve"> (ул. Верхняя Аллея, д.8) состоялась Российская агропромышленная выставка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Золотая осень</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Ханты-Мансийский автономный округ – Югр</w:t>
      </w:r>
      <w:r w:rsidR="00BE7213" w:rsidRPr="00294153">
        <w:rPr>
          <w:rFonts w:ascii="Times New Roman" w:hAnsi="Times New Roman"/>
          <w:bCs/>
          <w:sz w:val="28"/>
          <w:szCs w:val="28"/>
          <w:lang w:eastAsia="zh-CN"/>
        </w:rPr>
        <w:t>а</w:t>
      </w:r>
      <w:r w:rsidRPr="00294153">
        <w:rPr>
          <w:rFonts w:ascii="Times New Roman" w:hAnsi="Times New Roman"/>
          <w:bCs/>
          <w:sz w:val="28"/>
          <w:szCs w:val="28"/>
          <w:lang w:eastAsia="zh-CN"/>
        </w:rPr>
        <w:t xml:space="preserve"> на выс</w:t>
      </w:r>
      <w:r w:rsidR="00774466" w:rsidRPr="00294153">
        <w:rPr>
          <w:rFonts w:ascii="Times New Roman" w:hAnsi="Times New Roman"/>
          <w:bCs/>
          <w:sz w:val="28"/>
          <w:szCs w:val="28"/>
          <w:lang w:eastAsia="zh-CN"/>
        </w:rPr>
        <w:t>тавке был представлен 7 компаниями</w:t>
      </w:r>
      <w:r w:rsidRPr="00294153">
        <w:rPr>
          <w:rFonts w:ascii="Times New Roman" w:hAnsi="Times New Roman"/>
          <w:bCs/>
          <w:sz w:val="28"/>
          <w:szCs w:val="28"/>
          <w:lang w:eastAsia="zh-CN"/>
        </w:rPr>
        <w:t xml:space="preserve"> на коллективном региональном стенде.</w:t>
      </w:r>
    </w:p>
    <w:p w14:paraId="55ADC2FB" w14:textId="77777777" w:rsidR="000D55D4" w:rsidRPr="00294153" w:rsidRDefault="000D55D4" w:rsidP="000D55D4">
      <w:pPr>
        <w:spacing w:after="0" w:line="360" w:lineRule="auto"/>
        <w:ind w:firstLine="709"/>
        <w:jc w:val="both"/>
        <w:rPr>
          <w:rFonts w:ascii="Times New Roman" w:hAnsi="Times New Roman"/>
          <w:bCs/>
          <w:sz w:val="28"/>
          <w:szCs w:val="28"/>
          <w:lang w:eastAsia="zh-CN"/>
        </w:rPr>
      </w:pPr>
      <w:r w:rsidRPr="00294153">
        <w:rPr>
          <w:rFonts w:ascii="Times New Roman" w:hAnsi="Times New Roman"/>
          <w:bCs/>
          <w:sz w:val="28"/>
          <w:szCs w:val="28"/>
          <w:lang w:eastAsia="zh-CN"/>
        </w:rPr>
        <w:t xml:space="preserve">С 11 по 15 ноября в Москве на базе ФГБОУ ВО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Российский государственный аграрный университет – МСХА имени К. А. Тимирязева</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xml:space="preserve"> прошли обучающие курсы для представителей агропромышленного комплекса – Югры. В рамках заключенного соглашения между Фондом развития Югры и РГАУ – МСХА имени К.А. Тимирязева были разработаны программы обучающих курсов по актуальным для региона направлениям. По завершении обучения была проведена итоговая аттестация, по результатам которой 25 слушателей получили удостоверение установленного образца о повышении квалификации.</w:t>
      </w:r>
    </w:p>
    <w:p w14:paraId="061DED48" w14:textId="77777777" w:rsidR="000D55D4" w:rsidRPr="00294153" w:rsidRDefault="000D55D4" w:rsidP="000D55D4">
      <w:pPr>
        <w:spacing w:after="0" w:line="360" w:lineRule="auto"/>
        <w:ind w:firstLine="709"/>
        <w:jc w:val="both"/>
        <w:rPr>
          <w:bCs/>
          <w:sz w:val="28"/>
          <w:szCs w:val="28"/>
          <w:lang w:eastAsia="zh-CN"/>
        </w:rPr>
      </w:pPr>
      <w:r w:rsidRPr="00294153">
        <w:rPr>
          <w:rFonts w:ascii="Times New Roman" w:hAnsi="Times New Roman"/>
          <w:bCs/>
          <w:sz w:val="28"/>
          <w:szCs w:val="28"/>
          <w:lang w:eastAsia="zh-CN"/>
        </w:rPr>
        <w:t xml:space="preserve">С 8 по 10 декабря на площадке КВЦ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Югра-Экспо</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xml:space="preserve"> прошла XXVII выставка-ярмарка окружных товаропроизводителей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Товары земли Югорской</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xml:space="preserve">. Свои достижения продемонстрировало рекордное количество </w:t>
      </w:r>
      <w:r w:rsidRPr="00294153">
        <w:rPr>
          <w:rFonts w:ascii="Times New Roman" w:hAnsi="Times New Roman"/>
          <w:bCs/>
          <w:sz w:val="28"/>
          <w:szCs w:val="28"/>
          <w:lang w:eastAsia="zh-CN"/>
        </w:rPr>
        <w:lastRenderedPageBreak/>
        <w:t>участников – 234 предпринимателя малого и среднего бизнеса из 22 муниципалитетов Югры</w:t>
      </w:r>
      <w:r w:rsidRPr="00294153">
        <w:rPr>
          <w:bCs/>
          <w:sz w:val="28"/>
          <w:szCs w:val="28"/>
          <w:lang w:eastAsia="zh-CN"/>
        </w:rPr>
        <w:t>.</w:t>
      </w:r>
    </w:p>
    <w:p w14:paraId="45248B51" w14:textId="77777777" w:rsidR="008B17F7" w:rsidRPr="00294153" w:rsidRDefault="008B17F7" w:rsidP="008B17F7">
      <w:pPr>
        <w:spacing w:after="0" w:line="360" w:lineRule="auto"/>
        <w:ind w:firstLine="709"/>
        <w:jc w:val="both"/>
        <w:rPr>
          <w:rFonts w:ascii="Times New Roman" w:hAnsi="Times New Roman"/>
          <w:bCs/>
          <w:sz w:val="28"/>
          <w:szCs w:val="28"/>
          <w:lang w:eastAsia="zh-CN"/>
        </w:rPr>
      </w:pPr>
      <w:r w:rsidRPr="00294153">
        <w:rPr>
          <w:rFonts w:ascii="Times New Roman" w:hAnsi="Times New Roman"/>
          <w:bCs/>
          <w:sz w:val="28"/>
          <w:szCs w:val="28"/>
          <w:lang w:eastAsia="zh-CN"/>
        </w:rPr>
        <w:t>За три дня мероприятие посетили более 11 000 человек, было реализовано 20 тонн продукции, а общая выручка предпринимателей составила более 17 миллионов рублей. Традиционно на выставке были представлены деликатесы, свежие товары из широкого ассортимента мясной и рыбной продукции, дикоросы, сладости, молочные продукты и выпечка.</w:t>
      </w:r>
    </w:p>
    <w:p w14:paraId="26018A0E" w14:textId="77777777" w:rsidR="008B17F7" w:rsidRPr="00294153" w:rsidRDefault="008B17F7" w:rsidP="008B17F7">
      <w:pPr>
        <w:spacing w:after="0" w:line="360" w:lineRule="auto"/>
        <w:ind w:firstLine="709"/>
        <w:jc w:val="both"/>
        <w:rPr>
          <w:rFonts w:ascii="Times New Roman" w:hAnsi="Times New Roman"/>
          <w:bCs/>
          <w:sz w:val="28"/>
          <w:szCs w:val="28"/>
          <w:lang w:eastAsia="zh-CN"/>
        </w:rPr>
      </w:pPr>
      <w:r w:rsidRPr="00294153">
        <w:rPr>
          <w:rFonts w:ascii="Times New Roman" w:hAnsi="Times New Roman"/>
          <w:bCs/>
          <w:sz w:val="28"/>
          <w:szCs w:val="28"/>
          <w:lang w:eastAsia="zh-CN"/>
        </w:rPr>
        <w:t xml:space="preserve">Также в рамках выставки был проведен конкурс пищевых продуктов </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Лучшие вкусы Югры</w:t>
      </w:r>
      <w:r w:rsidR="00B01627" w:rsidRPr="00294153">
        <w:rPr>
          <w:rFonts w:ascii="Times New Roman" w:hAnsi="Times New Roman"/>
          <w:bCs/>
          <w:sz w:val="28"/>
          <w:szCs w:val="28"/>
          <w:lang w:eastAsia="zh-CN"/>
        </w:rPr>
        <w:t>»</w:t>
      </w:r>
      <w:r w:rsidRPr="00294153">
        <w:rPr>
          <w:rFonts w:ascii="Times New Roman" w:hAnsi="Times New Roman"/>
          <w:bCs/>
          <w:sz w:val="28"/>
          <w:szCs w:val="28"/>
          <w:lang w:eastAsia="zh-CN"/>
        </w:rPr>
        <w:t>, с общим призовым фондом в 1 000 000 рублей. Звание лучших вкусов Югры получили 26 видов продукции 15 товаропроизводителей.</w:t>
      </w:r>
    </w:p>
    <w:p w14:paraId="2419F695"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Заключено 7 соглашений по вопросам подачи документов в Департамент промышленности Ханты-Мансийского автономного округа – Югры в целях получения гранта в форме субсидии:</w:t>
      </w:r>
    </w:p>
    <w:p w14:paraId="13156E26"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 По двум проектам Департаментом промышленности Ханты-Мансийского автономного округа – Югры принято положительное решение о предоставлении грантов в форме субсидии на реализацию проектов </w:t>
      </w:r>
      <w:r w:rsidR="00B01627" w:rsidRPr="00294153">
        <w:rPr>
          <w:rFonts w:ascii="Times New Roman" w:hAnsi="Times New Roman"/>
          <w:iCs/>
          <w:sz w:val="28"/>
          <w:szCs w:val="28"/>
        </w:rPr>
        <w:t>«</w:t>
      </w:r>
      <w:r w:rsidRPr="00294153">
        <w:rPr>
          <w:rFonts w:ascii="Times New Roman" w:hAnsi="Times New Roman"/>
          <w:iCs/>
          <w:sz w:val="28"/>
          <w:szCs w:val="28"/>
        </w:rPr>
        <w:t>Агростартап</w:t>
      </w:r>
      <w:r w:rsidR="00B01627" w:rsidRPr="00294153">
        <w:rPr>
          <w:rFonts w:ascii="Times New Roman" w:hAnsi="Times New Roman"/>
          <w:iCs/>
          <w:sz w:val="28"/>
          <w:szCs w:val="28"/>
        </w:rPr>
        <w:t>»</w:t>
      </w:r>
      <w:r w:rsidRPr="00294153">
        <w:rPr>
          <w:rFonts w:ascii="Times New Roman" w:hAnsi="Times New Roman"/>
          <w:iCs/>
          <w:sz w:val="28"/>
          <w:szCs w:val="28"/>
        </w:rPr>
        <w:t xml:space="preserve">, общий объем инвестиций: 12,7 млн. руб. (из них средства гранта </w:t>
      </w:r>
      <w:r w:rsidR="00B01627" w:rsidRPr="00294153">
        <w:rPr>
          <w:rFonts w:ascii="Times New Roman" w:hAnsi="Times New Roman"/>
          <w:iCs/>
          <w:sz w:val="28"/>
          <w:szCs w:val="28"/>
        </w:rPr>
        <w:t>«</w:t>
      </w:r>
      <w:r w:rsidRPr="00294153">
        <w:rPr>
          <w:rFonts w:ascii="Times New Roman" w:hAnsi="Times New Roman"/>
          <w:iCs/>
          <w:sz w:val="28"/>
          <w:szCs w:val="28"/>
        </w:rPr>
        <w:t>Агростартап</w:t>
      </w:r>
      <w:r w:rsidR="00B01627" w:rsidRPr="00294153">
        <w:rPr>
          <w:rFonts w:ascii="Times New Roman" w:hAnsi="Times New Roman"/>
          <w:iCs/>
          <w:sz w:val="28"/>
          <w:szCs w:val="28"/>
        </w:rPr>
        <w:t>»</w:t>
      </w:r>
      <w:r w:rsidRPr="00294153">
        <w:rPr>
          <w:rFonts w:ascii="Times New Roman" w:hAnsi="Times New Roman"/>
          <w:iCs/>
          <w:sz w:val="28"/>
          <w:szCs w:val="28"/>
        </w:rPr>
        <w:t xml:space="preserve"> – 11,4 млн. руб., собственные средства заявителей – 1,3 млн. руб.)</w:t>
      </w:r>
    </w:p>
    <w:p w14:paraId="382F6E3D"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По одному проекту в целях получения гранта в форме субсидии на финансовое обеспечение затрат на реализацию проектов по заготовке и переработке дикоросов принято положительное решение о предоставлении гранта в форме субсидии, общий объем инвестиций: 400 тыс.руб. (из них средства гранта – 280 тыс.руб., собственные средства заявителя – 120 тыс.руб.).</w:t>
      </w:r>
    </w:p>
    <w:p w14:paraId="0EA4EA1D"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7 (семи) товаропроизводителям Югры предоставлены услуги по развитию бизнеса в сфере сельского хозяйства, в перечень которых входит содействие в разработке маркетинговой стратегии и планов, рекламной </w:t>
      </w:r>
      <w:r w:rsidRPr="00294153">
        <w:rPr>
          <w:rFonts w:ascii="Times New Roman" w:hAnsi="Times New Roman"/>
          <w:iCs/>
          <w:sz w:val="28"/>
          <w:szCs w:val="28"/>
        </w:rPr>
        <w:lastRenderedPageBreak/>
        <w:t>кампании, дизайна, разработке и продвижении бренда, организация системы сбыта продукции, разработка бизнес-плана проекта.</w:t>
      </w:r>
    </w:p>
    <w:p w14:paraId="67B606BE"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Приняты заявки и заключены соглашения об оказании услуги по проведению сертификации пищевой продукции на соответствие требованиям и стандартам </w:t>
      </w:r>
      <w:r w:rsidR="00B01627" w:rsidRPr="00294153">
        <w:rPr>
          <w:rFonts w:ascii="Times New Roman" w:hAnsi="Times New Roman"/>
          <w:iCs/>
          <w:sz w:val="28"/>
          <w:szCs w:val="28"/>
        </w:rPr>
        <w:t>«</w:t>
      </w:r>
      <w:r w:rsidRPr="00294153">
        <w:rPr>
          <w:rFonts w:ascii="Times New Roman" w:hAnsi="Times New Roman"/>
          <w:iCs/>
          <w:sz w:val="28"/>
          <w:szCs w:val="28"/>
        </w:rPr>
        <w:t>Халяль</w:t>
      </w:r>
      <w:r w:rsidR="00B01627" w:rsidRPr="00294153">
        <w:rPr>
          <w:rFonts w:ascii="Times New Roman" w:hAnsi="Times New Roman"/>
          <w:iCs/>
          <w:sz w:val="28"/>
          <w:szCs w:val="28"/>
        </w:rPr>
        <w:t>»</w:t>
      </w:r>
      <w:r w:rsidRPr="00294153">
        <w:rPr>
          <w:rFonts w:ascii="Times New Roman" w:hAnsi="Times New Roman"/>
          <w:iCs/>
          <w:sz w:val="28"/>
          <w:szCs w:val="28"/>
        </w:rPr>
        <w:t xml:space="preserve"> с ООО </w:t>
      </w:r>
      <w:r w:rsidR="00B01627" w:rsidRPr="00294153">
        <w:rPr>
          <w:rFonts w:ascii="Times New Roman" w:hAnsi="Times New Roman"/>
          <w:iCs/>
          <w:sz w:val="28"/>
          <w:szCs w:val="28"/>
        </w:rPr>
        <w:t>«</w:t>
      </w:r>
      <w:r w:rsidRPr="00294153">
        <w:rPr>
          <w:rFonts w:ascii="Times New Roman" w:hAnsi="Times New Roman"/>
          <w:iCs/>
          <w:sz w:val="28"/>
          <w:szCs w:val="28"/>
        </w:rPr>
        <w:t>Обь-регион</w:t>
      </w:r>
      <w:r w:rsidR="00B01627" w:rsidRPr="00294153">
        <w:rPr>
          <w:rFonts w:ascii="Times New Roman" w:hAnsi="Times New Roman"/>
          <w:iCs/>
          <w:sz w:val="28"/>
          <w:szCs w:val="28"/>
        </w:rPr>
        <w:t>»</w:t>
      </w:r>
      <w:r w:rsidRPr="00294153">
        <w:rPr>
          <w:rFonts w:ascii="Times New Roman" w:hAnsi="Times New Roman"/>
          <w:iCs/>
          <w:sz w:val="28"/>
          <w:szCs w:val="28"/>
        </w:rPr>
        <w:t xml:space="preserve">, ИП Клищенко Ольга Александровна, СПК </w:t>
      </w:r>
      <w:r w:rsidR="00B01627" w:rsidRPr="00294153">
        <w:rPr>
          <w:rFonts w:ascii="Times New Roman" w:hAnsi="Times New Roman"/>
          <w:iCs/>
          <w:sz w:val="28"/>
          <w:szCs w:val="28"/>
        </w:rPr>
        <w:t>«</w:t>
      </w:r>
      <w:r w:rsidRPr="00294153">
        <w:rPr>
          <w:rFonts w:ascii="Times New Roman" w:hAnsi="Times New Roman"/>
          <w:iCs/>
          <w:sz w:val="28"/>
          <w:szCs w:val="28"/>
        </w:rPr>
        <w:t>Ханты-Мансийский</w:t>
      </w:r>
      <w:r w:rsidR="00B01627" w:rsidRPr="00294153">
        <w:rPr>
          <w:rFonts w:ascii="Times New Roman" w:hAnsi="Times New Roman"/>
          <w:iCs/>
          <w:sz w:val="28"/>
          <w:szCs w:val="28"/>
        </w:rPr>
        <w:t>»</w:t>
      </w:r>
      <w:r w:rsidRPr="00294153">
        <w:rPr>
          <w:rFonts w:ascii="Times New Roman" w:hAnsi="Times New Roman"/>
          <w:iCs/>
          <w:sz w:val="28"/>
          <w:szCs w:val="28"/>
        </w:rPr>
        <w:t>.</w:t>
      </w:r>
    </w:p>
    <w:p w14:paraId="4D2D874E"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Сертификат на соответствие требованиям и стандартам </w:t>
      </w:r>
      <w:r w:rsidR="00B01627" w:rsidRPr="00294153">
        <w:rPr>
          <w:rFonts w:ascii="Times New Roman" w:hAnsi="Times New Roman"/>
          <w:iCs/>
          <w:sz w:val="28"/>
          <w:szCs w:val="28"/>
        </w:rPr>
        <w:t>«</w:t>
      </w:r>
      <w:r w:rsidRPr="00294153">
        <w:rPr>
          <w:rFonts w:ascii="Times New Roman" w:hAnsi="Times New Roman"/>
          <w:iCs/>
          <w:sz w:val="28"/>
          <w:szCs w:val="28"/>
        </w:rPr>
        <w:t>Халяль</w:t>
      </w:r>
      <w:r w:rsidR="00B01627" w:rsidRPr="00294153">
        <w:rPr>
          <w:rFonts w:ascii="Times New Roman" w:hAnsi="Times New Roman"/>
          <w:iCs/>
          <w:sz w:val="28"/>
          <w:szCs w:val="28"/>
        </w:rPr>
        <w:t>»</w:t>
      </w:r>
      <w:r w:rsidRPr="00294153">
        <w:rPr>
          <w:rFonts w:ascii="Times New Roman" w:hAnsi="Times New Roman"/>
          <w:iCs/>
          <w:sz w:val="28"/>
          <w:szCs w:val="28"/>
        </w:rPr>
        <w:t xml:space="preserve"> получила продукция: ИП Клищенко О.А, ООО </w:t>
      </w:r>
      <w:r w:rsidR="00B01627" w:rsidRPr="00294153">
        <w:rPr>
          <w:rFonts w:ascii="Times New Roman" w:hAnsi="Times New Roman"/>
          <w:iCs/>
          <w:sz w:val="28"/>
          <w:szCs w:val="28"/>
        </w:rPr>
        <w:t>«</w:t>
      </w:r>
      <w:r w:rsidRPr="00294153">
        <w:rPr>
          <w:rFonts w:ascii="Times New Roman" w:hAnsi="Times New Roman"/>
          <w:iCs/>
          <w:sz w:val="28"/>
          <w:szCs w:val="28"/>
        </w:rPr>
        <w:t>Обь-регион</w:t>
      </w:r>
      <w:r w:rsidR="00B01627" w:rsidRPr="00294153">
        <w:rPr>
          <w:rFonts w:ascii="Times New Roman" w:hAnsi="Times New Roman"/>
          <w:iCs/>
          <w:sz w:val="28"/>
          <w:szCs w:val="28"/>
        </w:rPr>
        <w:t>»</w:t>
      </w:r>
      <w:r w:rsidRPr="00294153">
        <w:rPr>
          <w:rFonts w:ascii="Times New Roman" w:hAnsi="Times New Roman"/>
          <w:iCs/>
          <w:sz w:val="28"/>
          <w:szCs w:val="28"/>
        </w:rPr>
        <w:t xml:space="preserve">, СПК </w:t>
      </w:r>
      <w:r w:rsidR="00B01627" w:rsidRPr="00294153">
        <w:rPr>
          <w:rFonts w:ascii="Times New Roman" w:hAnsi="Times New Roman"/>
          <w:iCs/>
          <w:sz w:val="28"/>
          <w:szCs w:val="28"/>
        </w:rPr>
        <w:t>«</w:t>
      </w:r>
      <w:r w:rsidRPr="00294153">
        <w:rPr>
          <w:rFonts w:ascii="Times New Roman" w:hAnsi="Times New Roman"/>
          <w:iCs/>
          <w:sz w:val="28"/>
          <w:szCs w:val="28"/>
        </w:rPr>
        <w:t>Ханты-Мансийский</w:t>
      </w:r>
      <w:r w:rsidR="00B01627" w:rsidRPr="00294153">
        <w:rPr>
          <w:rFonts w:ascii="Times New Roman" w:hAnsi="Times New Roman"/>
          <w:iCs/>
          <w:sz w:val="28"/>
          <w:szCs w:val="28"/>
        </w:rPr>
        <w:t>»</w:t>
      </w:r>
      <w:r w:rsidRPr="00294153">
        <w:rPr>
          <w:rFonts w:ascii="Times New Roman" w:hAnsi="Times New Roman"/>
          <w:iCs/>
          <w:sz w:val="28"/>
          <w:szCs w:val="28"/>
        </w:rPr>
        <w:t xml:space="preserve"> (Эко-фабрика </w:t>
      </w:r>
      <w:r w:rsidR="00B01627" w:rsidRPr="00294153">
        <w:rPr>
          <w:rFonts w:ascii="Times New Roman" w:hAnsi="Times New Roman"/>
          <w:iCs/>
          <w:sz w:val="28"/>
          <w:szCs w:val="28"/>
        </w:rPr>
        <w:t>«</w:t>
      </w:r>
      <w:r w:rsidRPr="00294153">
        <w:rPr>
          <w:rFonts w:ascii="Times New Roman" w:hAnsi="Times New Roman"/>
          <w:iCs/>
          <w:sz w:val="28"/>
          <w:szCs w:val="28"/>
        </w:rPr>
        <w:t>Этника</w:t>
      </w:r>
      <w:r w:rsidR="00B01627" w:rsidRPr="00294153">
        <w:rPr>
          <w:rFonts w:ascii="Times New Roman" w:hAnsi="Times New Roman"/>
          <w:iCs/>
          <w:sz w:val="28"/>
          <w:szCs w:val="28"/>
        </w:rPr>
        <w:t>»</w:t>
      </w:r>
      <w:r w:rsidRPr="00294153">
        <w:rPr>
          <w:rFonts w:ascii="Times New Roman" w:hAnsi="Times New Roman"/>
          <w:iCs/>
          <w:sz w:val="28"/>
          <w:szCs w:val="28"/>
        </w:rPr>
        <w:t>).</w:t>
      </w:r>
    </w:p>
    <w:p w14:paraId="66ACA4D5" w14:textId="77777777" w:rsidR="000D55D4" w:rsidRPr="00294153" w:rsidRDefault="000D55D4" w:rsidP="000D55D4">
      <w:pPr>
        <w:tabs>
          <w:tab w:val="left" w:pos="426"/>
          <w:tab w:val="left" w:pos="1134"/>
        </w:tabs>
        <w:spacing w:line="360" w:lineRule="auto"/>
        <w:ind w:firstLine="709"/>
        <w:contextualSpacing/>
        <w:jc w:val="both"/>
        <w:rPr>
          <w:rFonts w:ascii="Times New Roman" w:hAnsi="Times New Roman"/>
          <w:iCs/>
          <w:sz w:val="28"/>
          <w:szCs w:val="28"/>
        </w:rPr>
      </w:pPr>
      <w:r w:rsidRPr="00294153">
        <w:rPr>
          <w:rFonts w:ascii="Times New Roman" w:hAnsi="Times New Roman"/>
          <w:iCs/>
          <w:sz w:val="28"/>
          <w:szCs w:val="28"/>
        </w:rPr>
        <w:t xml:space="preserve">А также сертификат на соответствие органического производства получила компания ООО </w:t>
      </w:r>
      <w:r w:rsidR="00B01627" w:rsidRPr="00294153">
        <w:rPr>
          <w:rFonts w:ascii="Times New Roman" w:hAnsi="Times New Roman"/>
          <w:iCs/>
          <w:sz w:val="28"/>
          <w:szCs w:val="28"/>
        </w:rPr>
        <w:t>«</w:t>
      </w:r>
      <w:r w:rsidRPr="00294153">
        <w:rPr>
          <w:rFonts w:ascii="Times New Roman" w:hAnsi="Times New Roman"/>
          <w:iCs/>
          <w:sz w:val="28"/>
          <w:szCs w:val="28"/>
        </w:rPr>
        <w:t xml:space="preserve">Чайный дом </w:t>
      </w:r>
      <w:r w:rsidR="00B01627" w:rsidRPr="00294153">
        <w:rPr>
          <w:rFonts w:ascii="Times New Roman" w:hAnsi="Times New Roman"/>
          <w:iCs/>
          <w:sz w:val="28"/>
          <w:szCs w:val="28"/>
        </w:rPr>
        <w:t>«</w:t>
      </w:r>
      <w:r w:rsidRPr="00294153">
        <w:rPr>
          <w:rFonts w:ascii="Times New Roman" w:hAnsi="Times New Roman"/>
          <w:iCs/>
          <w:sz w:val="28"/>
          <w:szCs w:val="28"/>
        </w:rPr>
        <w:t>Чистота</w:t>
      </w:r>
      <w:r w:rsidR="00B01627" w:rsidRPr="00294153">
        <w:rPr>
          <w:rFonts w:ascii="Times New Roman" w:hAnsi="Times New Roman"/>
          <w:iCs/>
          <w:sz w:val="28"/>
          <w:szCs w:val="28"/>
        </w:rPr>
        <w:t>»</w:t>
      </w:r>
      <w:r w:rsidRPr="00294153">
        <w:rPr>
          <w:rFonts w:ascii="Times New Roman" w:hAnsi="Times New Roman"/>
          <w:iCs/>
          <w:sz w:val="28"/>
          <w:szCs w:val="28"/>
        </w:rPr>
        <w:t xml:space="preserve">, ИП Сульманова Л.А., ООО </w:t>
      </w:r>
      <w:r w:rsidR="00B01627" w:rsidRPr="00294153">
        <w:rPr>
          <w:rFonts w:ascii="Times New Roman" w:hAnsi="Times New Roman"/>
          <w:iCs/>
          <w:sz w:val="28"/>
          <w:szCs w:val="28"/>
        </w:rPr>
        <w:t>«</w:t>
      </w:r>
      <w:r w:rsidRPr="00294153">
        <w:rPr>
          <w:rFonts w:ascii="Times New Roman" w:hAnsi="Times New Roman"/>
          <w:iCs/>
          <w:sz w:val="28"/>
          <w:szCs w:val="28"/>
        </w:rPr>
        <w:t xml:space="preserve">НП </w:t>
      </w:r>
      <w:r w:rsidR="00B01627" w:rsidRPr="00294153">
        <w:rPr>
          <w:rFonts w:ascii="Times New Roman" w:hAnsi="Times New Roman"/>
          <w:iCs/>
          <w:sz w:val="28"/>
          <w:szCs w:val="28"/>
        </w:rPr>
        <w:t>«</w:t>
      </w:r>
      <w:r w:rsidRPr="00294153">
        <w:rPr>
          <w:rFonts w:ascii="Times New Roman" w:hAnsi="Times New Roman"/>
          <w:iCs/>
          <w:sz w:val="28"/>
          <w:szCs w:val="28"/>
        </w:rPr>
        <w:t>Кордон</w:t>
      </w:r>
      <w:r w:rsidR="00B01627" w:rsidRPr="00294153">
        <w:rPr>
          <w:rFonts w:ascii="Times New Roman" w:hAnsi="Times New Roman"/>
          <w:iCs/>
          <w:sz w:val="28"/>
          <w:szCs w:val="28"/>
        </w:rPr>
        <w:t>»</w:t>
      </w:r>
      <w:r w:rsidRPr="00294153">
        <w:rPr>
          <w:rFonts w:ascii="Times New Roman" w:hAnsi="Times New Roman"/>
          <w:iCs/>
          <w:sz w:val="28"/>
          <w:szCs w:val="28"/>
        </w:rPr>
        <w:t>.</w:t>
      </w:r>
    </w:p>
    <w:p w14:paraId="083C75FE" w14:textId="77777777" w:rsidR="005C4755" w:rsidRPr="00294153" w:rsidRDefault="005C4755" w:rsidP="000D55D4">
      <w:pPr>
        <w:tabs>
          <w:tab w:val="left" w:pos="709"/>
        </w:tabs>
        <w:spacing w:after="0" w:line="360" w:lineRule="auto"/>
        <w:jc w:val="both"/>
        <w:rPr>
          <w:rFonts w:ascii="Times New Roman" w:eastAsia="Times New Roman" w:hAnsi="Times New Roman" w:cs="Times New Roman"/>
          <w:sz w:val="28"/>
          <w:szCs w:val="28"/>
          <w:lang w:eastAsia="zh-CN"/>
        </w:rPr>
      </w:pPr>
    </w:p>
    <w:p w14:paraId="1287595C" w14:textId="77777777" w:rsidR="006F55F1" w:rsidRPr="00294153" w:rsidRDefault="006F55F1" w:rsidP="00294153">
      <w:pPr>
        <w:pStyle w:val="a3"/>
        <w:spacing w:after="0" w:line="360" w:lineRule="auto"/>
        <w:ind w:left="0" w:firstLine="709"/>
        <w:jc w:val="both"/>
        <w:outlineLvl w:val="1"/>
        <w:rPr>
          <w:rFonts w:ascii="Times New Roman" w:hAnsi="Times New Roman"/>
          <w:b/>
          <w:sz w:val="28"/>
          <w:szCs w:val="28"/>
        </w:rPr>
      </w:pPr>
      <w:bookmarkStart w:id="3" w:name="_Toc100063318"/>
      <w:bookmarkStart w:id="4" w:name="_Toc100063501"/>
      <w:bookmarkStart w:id="5" w:name="_Toc107928730"/>
      <w:bookmarkStart w:id="6" w:name="_Toc44923349"/>
      <w:r w:rsidRPr="00294153">
        <w:rPr>
          <w:rFonts w:ascii="Times New Roman" w:hAnsi="Times New Roman"/>
          <w:b/>
          <w:sz w:val="28"/>
          <w:szCs w:val="28"/>
        </w:rPr>
        <w:t xml:space="preserve">Инвестиционное продвижение автономного округа, </w:t>
      </w:r>
      <w:r w:rsidR="00A87D4D" w:rsidRPr="00294153">
        <w:rPr>
          <w:rFonts w:ascii="Times New Roman" w:hAnsi="Times New Roman"/>
          <w:b/>
          <w:sz w:val="28"/>
          <w:szCs w:val="28"/>
        </w:rPr>
        <w:t>включая проведение обучающих мероприятий</w:t>
      </w:r>
      <w:r w:rsidR="00294153" w:rsidRPr="00294153">
        <w:rPr>
          <w:rFonts w:ascii="Times New Roman" w:hAnsi="Times New Roman"/>
          <w:b/>
          <w:sz w:val="28"/>
          <w:szCs w:val="28"/>
        </w:rPr>
        <w:t xml:space="preserve"> для </w:t>
      </w:r>
      <w:r w:rsidR="00294153" w:rsidRPr="00294153">
        <w:rPr>
          <w:rFonts w:ascii="Times New Roman" w:eastAsia="Times New Roman" w:hAnsi="Times New Roman" w:cs="Times New Roman"/>
          <w:b/>
          <w:bCs/>
          <w:color w:val="000000"/>
          <w:sz w:val="28"/>
          <w:szCs w:val="28"/>
          <w:lang w:eastAsia="ru-RU"/>
        </w:rPr>
        <w:t>представителей исполнительных органов и органов местного самоуправления автономного округа,</w:t>
      </w:r>
      <w:r w:rsidR="00294153" w:rsidRPr="00294153">
        <w:rPr>
          <w:rFonts w:ascii="Times New Roman" w:eastAsia="Times New Roman" w:hAnsi="Times New Roman" w:cs="Times New Roman"/>
          <w:color w:val="000000"/>
          <w:sz w:val="28"/>
          <w:szCs w:val="28"/>
          <w:lang w:eastAsia="ru-RU"/>
        </w:rPr>
        <w:t xml:space="preserve"> </w:t>
      </w:r>
      <w:r w:rsidRPr="00294153">
        <w:rPr>
          <w:rFonts w:ascii="Times New Roman" w:hAnsi="Times New Roman"/>
          <w:b/>
          <w:sz w:val="28"/>
          <w:szCs w:val="28"/>
        </w:rPr>
        <w:t xml:space="preserve">взаимодействие со </w:t>
      </w:r>
      <w:bookmarkEnd w:id="3"/>
      <w:bookmarkEnd w:id="4"/>
      <w:bookmarkEnd w:id="5"/>
      <w:r w:rsidR="00A87D4D" w:rsidRPr="00294153">
        <w:rPr>
          <w:rFonts w:ascii="Times New Roman" w:hAnsi="Times New Roman"/>
          <w:b/>
          <w:sz w:val="28"/>
          <w:szCs w:val="28"/>
        </w:rPr>
        <w:t>средствами массовой информации</w:t>
      </w:r>
      <w:r w:rsidR="00294153" w:rsidRPr="00294153">
        <w:rPr>
          <w:rFonts w:ascii="Times New Roman" w:hAnsi="Times New Roman"/>
          <w:b/>
          <w:sz w:val="28"/>
          <w:szCs w:val="28"/>
        </w:rPr>
        <w:t>.</w:t>
      </w:r>
    </w:p>
    <w:p w14:paraId="6D7BC7DB" w14:textId="77777777" w:rsidR="00294153" w:rsidRPr="00294153" w:rsidRDefault="00294153" w:rsidP="00B77990">
      <w:pPr>
        <w:spacing w:after="0" w:line="360" w:lineRule="auto"/>
        <w:ind w:firstLine="709"/>
        <w:jc w:val="both"/>
        <w:rPr>
          <w:rFonts w:ascii="Times New Roman" w:hAnsi="Times New Roman"/>
          <w:sz w:val="28"/>
          <w:szCs w:val="28"/>
          <w:u w:val="single"/>
        </w:rPr>
      </w:pPr>
      <w:r w:rsidRPr="00294153">
        <w:rPr>
          <w:rFonts w:ascii="Times New Roman" w:hAnsi="Times New Roman"/>
          <w:sz w:val="28"/>
          <w:szCs w:val="28"/>
          <w:u w:val="single"/>
        </w:rPr>
        <w:t>Инвестиционное продвижение автономного округа</w:t>
      </w:r>
    </w:p>
    <w:p w14:paraId="40AF078E" w14:textId="77777777" w:rsidR="00B77990" w:rsidRPr="00294153" w:rsidRDefault="00B77990" w:rsidP="00B77990">
      <w:pPr>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Фонд развития Югры выступил организатором Югорского экономического форума 18-21 ноября 2024 года. Обеспечена застройка и проведение выставки в рамках форума. Программа форума объединила порядка 50 мероприятий (конференции, сессии, лекции, тренинги и мастер-классы) сфер МСП, крупного бизнеса, ТЭК, общественной дипломатии. Было заключено 31 соглашение о сотрудничестве, в том числе с крупнейшими предприятиями региона. Порядка 18 тысяч человек приняли участие в форматах оффлайн и онлайн. За четыре дня форум посетили 2 тысячи участников, 16 тысяч человек смотрели трансляции в онлайне. Форум посетили 42 иностранных гостя из 28 стран и 40 федеральных экспертов и ведомств. Участники форума обсудили актуальные вопросы экономики </w:t>
      </w:r>
      <w:r w:rsidRPr="00294153">
        <w:rPr>
          <w:rFonts w:ascii="Times New Roman" w:hAnsi="Times New Roman"/>
          <w:sz w:val="28"/>
          <w:szCs w:val="28"/>
        </w:rPr>
        <w:lastRenderedPageBreak/>
        <w:t xml:space="preserve">развития региона, привлечения инвестиций, реализацию нефтегазового потенциала и промышленной инфраструктуры Югры, технологическое развитие региона, меры поддержки малого и среднего бизнеса в форматах круглых столов и пленарных заседаний. Проведено 71 мероприятие. В рамках выставки представлены 50 промышленных предприятий Югры. В их числе: Промышленные парки Югры, Югорский лесопромышленный холдинг, Технопарк высоких технологий, ЛУКОЙЛ-Западная Сибирь, БерезкаГаз Компани, Промышленный технопарк </w:t>
      </w:r>
      <w:r w:rsidR="00B01627" w:rsidRPr="00294153">
        <w:rPr>
          <w:rFonts w:ascii="Times New Roman" w:hAnsi="Times New Roman"/>
          <w:sz w:val="28"/>
          <w:szCs w:val="28"/>
        </w:rPr>
        <w:t>«</w:t>
      </w:r>
      <w:r w:rsidRPr="00294153">
        <w:rPr>
          <w:rFonts w:ascii="Times New Roman" w:hAnsi="Times New Roman"/>
          <w:sz w:val="28"/>
          <w:szCs w:val="28"/>
        </w:rPr>
        <w:t>СИНЕРГИЯ</w:t>
      </w:r>
      <w:r w:rsidR="00B01627" w:rsidRPr="00294153">
        <w:rPr>
          <w:rFonts w:ascii="Times New Roman" w:hAnsi="Times New Roman"/>
          <w:sz w:val="28"/>
          <w:szCs w:val="28"/>
        </w:rPr>
        <w:t>»</w:t>
      </w:r>
      <w:r w:rsidRPr="00294153">
        <w:rPr>
          <w:rFonts w:ascii="Times New Roman" w:hAnsi="Times New Roman"/>
          <w:sz w:val="28"/>
          <w:szCs w:val="28"/>
        </w:rPr>
        <w:t>, Сбербанк, Югорский машиностроительный завод, Алмаз-Нефтесервис и многие другие.</w:t>
      </w:r>
    </w:p>
    <w:p w14:paraId="15C1BB1D" w14:textId="77777777" w:rsidR="00B77990" w:rsidRPr="00294153" w:rsidRDefault="00B77990" w:rsidP="00B77990">
      <w:pPr>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В соответствии с распоряжением Губернатора автономного округа от 1 июля 2023 года №166-рг </w:t>
      </w:r>
      <w:r w:rsidR="00B01627" w:rsidRPr="00294153">
        <w:rPr>
          <w:rFonts w:ascii="Times New Roman" w:hAnsi="Times New Roman"/>
          <w:sz w:val="28"/>
          <w:szCs w:val="28"/>
        </w:rPr>
        <w:t>«</w:t>
      </w:r>
      <w:r w:rsidRPr="00294153">
        <w:rPr>
          <w:rFonts w:ascii="Times New Roman" w:hAnsi="Times New Roman"/>
          <w:sz w:val="28"/>
          <w:szCs w:val="28"/>
        </w:rPr>
        <w:t xml:space="preserve">Об организационном комитете по подготовке к участию Ханты-Мансийского автономного округа – Югры в Международной выставке-форуме </w:t>
      </w:r>
      <w:r w:rsidR="00B01627" w:rsidRPr="00294153">
        <w:rPr>
          <w:rFonts w:ascii="Times New Roman" w:hAnsi="Times New Roman"/>
          <w:sz w:val="28"/>
          <w:szCs w:val="28"/>
        </w:rPr>
        <w:t>«</w:t>
      </w:r>
      <w:r w:rsidRPr="00294153">
        <w:rPr>
          <w:rFonts w:ascii="Times New Roman" w:hAnsi="Times New Roman"/>
          <w:sz w:val="28"/>
          <w:szCs w:val="28"/>
        </w:rPr>
        <w:t>Россия</w:t>
      </w:r>
      <w:r w:rsidR="00B01627" w:rsidRPr="00294153">
        <w:rPr>
          <w:rFonts w:ascii="Times New Roman" w:hAnsi="Times New Roman"/>
          <w:sz w:val="28"/>
          <w:szCs w:val="28"/>
        </w:rPr>
        <w:t>»</w:t>
      </w:r>
      <w:r w:rsidRPr="00294153">
        <w:rPr>
          <w:rFonts w:ascii="Times New Roman" w:hAnsi="Times New Roman"/>
          <w:sz w:val="28"/>
          <w:szCs w:val="28"/>
        </w:rPr>
        <w:t xml:space="preserve"> (далее – Выставка) Фонд развития Югры являлся оператором, ответственным за обеспечение реализации мероприятий по подготовке к участию Ханты-Мансийского автономного округа – Югры в Выставке. Для исполнения данного распоряжения, на основе решений организационного комитета Выставки организовано проведение на стенде Югры отраслевых дней – энергетики, сельского хозяйства, промышленности, предпринимательства. Обеспечено участие 5 региональных брендов, производимых на территории автономного округа, в Ярмарке-продаже имиджевых изделий Выставки (далее – Ярмарка) и на сайте Универмага Выставки. </w:t>
      </w:r>
    </w:p>
    <w:p w14:paraId="443409EC" w14:textId="77777777" w:rsidR="00B77990" w:rsidRPr="00294153" w:rsidRDefault="00B77990" w:rsidP="00B77990">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При этом обеспечено обновление событийной программы на площадке Выставки-форума, контента на медиаэкранах, ежемесячной активности на стенде Ханты-Мансийского автономного округа – Югры. В рамках Международной выставки-форума </w:t>
      </w:r>
      <w:r w:rsidR="00B01627" w:rsidRPr="00294153">
        <w:rPr>
          <w:rFonts w:ascii="Times New Roman" w:hAnsi="Times New Roman"/>
          <w:sz w:val="28"/>
          <w:szCs w:val="28"/>
        </w:rPr>
        <w:t>«</w:t>
      </w:r>
      <w:r w:rsidRPr="00294153">
        <w:rPr>
          <w:rFonts w:ascii="Times New Roman" w:hAnsi="Times New Roman"/>
          <w:sz w:val="28"/>
          <w:szCs w:val="28"/>
        </w:rPr>
        <w:t>Россия</w:t>
      </w:r>
      <w:r w:rsidR="00B01627" w:rsidRPr="00294153">
        <w:rPr>
          <w:rFonts w:ascii="Times New Roman" w:hAnsi="Times New Roman"/>
          <w:sz w:val="28"/>
          <w:szCs w:val="28"/>
        </w:rPr>
        <w:t>»</w:t>
      </w:r>
      <w:r w:rsidRPr="00294153">
        <w:rPr>
          <w:rFonts w:ascii="Times New Roman" w:hAnsi="Times New Roman"/>
          <w:sz w:val="28"/>
          <w:szCs w:val="28"/>
        </w:rPr>
        <w:t xml:space="preserve">, обеспечена застройка и функционирование стенда </w:t>
      </w:r>
      <w:r w:rsidR="00B01627" w:rsidRPr="00294153">
        <w:rPr>
          <w:rFonts w:ascii="Times New Roman" w:hAnsi="Times New Roman"/>
          <w:sz w:val="28"/>
          <w:szCs w:val="28"/>
        </w:rPr>
        <w:t>«</w:t>
      </w:r>
      <w:r w:rsidRPr="00294153">
        <w:rPr>
          <w:rFonts w:ascii="Times New Roman" w:hAnsi="Times New Roman"/>
          <w:sz w:val="28"/>
          <w:szCs w:val="28"/>
        </w:rPr>
        <w:t>Трудовые Династии</w:t>
      </w:r>
      <w:r w:rsidR="00B01627" w:rsidRPr="00294153">
        <w:rPr>
          <w:rFonts w:ascii="Times New Roman" w:hAnsi="Times New Roman"/>
          <w:sz w:val="28"/>
          <w:szCs w:val="28"/>
        </w:rPr>
        <w:t>»</w:t>
      </w:r>
      <w:r w:rsidRPr="00294153">
        <w:rPr>
          <w:rFonts w:ascii="Times New Roman" w:hAnsi="Times New Roman"/>
          <w:sz w:val="28"/>
          <w:szCs w:val="28"/>
        </w:rPr>
        <w:t xml:space="preserve"> Ханты-Мансийского автономного округа – Югры в павильоне </w:t>
      </w:r>
      <w:r w:rsidR="00B01627" w:rsidRPr="00294153">
        <w:rPr>
          <w:rFonts w:ascii="Times New Roman" w:hAnsi="Times New Roman"/>
          <w:sz w:val="28"/>
          <w:szCs w:val="28"/>
        </w:rPr>
        <w:t>«</w:t>
      </w:r>
      <w:r w:rsidRPr="00294153">
        <w:rPr>
          <w:rFonts w:ascii="Times New Roman" w:hAnsi="Times New Roman"/>
          <w:sz w:val="28"/>
          <w:szCs w:val="28"/>
        </w:rPr>
        <w:t>Рабочий и Колхозница</w:t>
      </w:r>
      <w:r w:rsidR="00B01627" w:rsidRPr="00294153">
        <w:rPr>
          <w:rFonts w:ascii="Times New Roman" w:hAnsi="Times New Roman"/>
          <w:sz w:val="28"/>
          <w:szCs w:val="28"/>
        </w:rPr>
        <w:t>»</w:t>
      </w:r>
      <w:r w:rsidRPr="00294153">
        <w:rPr>
          <w:rFonts w:ascii="Times New Roman" w:hAnsi="Times New Roman"/>
          <w:sz w:val="28"/>
          <w:szCs w:val="28"/>
        </w:rPr>
        <w:t xml:space="preserve"> на ВДНХ.</w:t>
      </w:r>
    </w:p>
    <w:p w14:paraId="1B6D7A07" w14:textId="77777777" w:rsidR="00B77990" w:rsidRPr="00294153" w:rsidRDefault="00B77990" w:rsidP="00B77990">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Также совместно с представителями Администрации Президента РФ, Аппарата полномочного представителя Президента в УрФО обеспечено </w:t>
      </w:r>
      <w:r w:rsidRPr="00294153">
        <w:rPr>
          <w:rFonts w:ascii="Times New Roman" w:hAnsi="Times New Roman"/>
          <w:sz w:val="28"/>
          <w:szCs w:val="28"/>
        </w:rPr>
        <w:lastRenderedPageBreak/>
        <w:t xml:space="preserve">сопровождение Дней регионального развития Урало-Сибирского макрорегиона </w:t>
      </w:r>
      <w:r w:rsidR="00B01627" w:rsidRPr="00294153">
        <w:rPr>
          <w:rFonts w:ascii="Times New Roman" w:hAnsi="Times New Roman"/>
          <w:sz w:val="28"/>
          <w:szCs w:val="28"/>
        </w:rPr>
        <w:t>«</w:t>
      </w:r>
      <w:r w:rsidRPr="00294153">
        <w:rPr>
          <w:rFonts w:ascii="Times New Roman" w:hAnsi="Times New Roman"/>
          <w:sz w:val="28"/>
          <w:szCs w:val="28"/>
        </w:rPr>
        <w:t>Пространство будущего</w:t>
      </w:r>
      <w:r w:rsidR="00B01627" w:rsidRPr="00294153">
        <w:rPr>
          <w:rFonts w:ascii="Times New Roman" w:hAnsi="Times New Roman"/>
          <w:sz w:val="28"/>
          <w:szCs w:val="28"/>
        </w:rPr>
        <w:t>»</w:t>
      </w:r>
      <w:r w:rsidRPr="00294153">
        <w:rPr>
          <w:rFonts w:ascii="Times New Roman" w:hAnsi="Times New Roman"/>
          <w:sz w:val="28"/>
          <w:szCs w:val="28"/>
        </w:rPr>
        <w:t xml:space="preserve"> на международной выставке-форуме </w:t>
      </w:r>
      <w:r w:rsidR="00B01627" w:rsidRPr="00294153">
        <w:rPr>
          <w:rFonts w:ascii="Times New Roman" w:hAnsi="Times New Roman"/>
          <w:sz w:val="28"/>
          <w:szCs w:val="28"/>
        </w:rPr>
        <w:t>«</w:t>
      </w:r>
      <w:r w:rsidRPr="00294153">
        <w:rPr>
          <w:rFonts w:ascii="Times New Roman" w:hAnsi="Times New Roman"/>
          <w:sz w:val="28"/>
          <w:szCs w:val="28"/>
        </w:rPr>
        <w:t>Россия</w:t>
      </w:r>
      <w:r w:rsidR="00B01627" w:rsidRPr="00294153">
        <w:rPr>
          <w:rFonts w:ascii="Times New Roman" w:hAnsi="Times New Roman"/>
          <w:sz w:val="28"/>
          <w:szCs w:val="28"/>
        </w:rPr>
        <w:t>»</w:t>
      </w:r>
      <w:r w:rsidRPr="00294153">
        <w:rPr>
          <w:rFonts w:ascii="Times New Roman" w:hAnsi="Times New Roman"/>
          <w:sz w:val="28"/>
          <w:szCs w:val="28"/>
        </w:rPr>
        <w:t>.</w:t>
      </w:r>
    </w:p>
    <w:p w14:paraId="51EF2978" w14:textId="77777777" w:rsidR="00294153" w:rsidRPr="00294153" w:rsidRDefault="00294153" w:rsidP="00294153">
      <w:pPr>
        <w:shd w:val="clear" w:color="auto" w:fill="FFFFFF"/>
        <w:spacing w:after="0" w:line="360" w:lineRule="auto"/>
        <w:ind w:firstLine="708"/>
        <w:jc w:val="both"/>
        <w:rPr>
          <w:rFonts w:ascii="Times New Roman" w:hAnsi="Times New Roman"/>
          <w:sz w:val="28"/>
          <w:szCs w:val="28"/>
          <w:u w:val="single"/>
        </w:rPr>
      </w:pPr>
      <w:r w:rsidRPr="00294153">
        <w:rPr>
          <w:rFonts w:ascii="Times New Roman" w:hAnsi="Times New Roman"/>
          <w:sz w:val="28"/>
          <w:szCs w:val="28"/>
          <w:u w:val="single"/>
        </w:rPr>
        <w:t>Обучающие мероприятия</w:t>
      </w:r>
    </w:p>
    <w:p w14:paraId="5F16D302" w14:textId="77777777" w:rsidR="00294153" w:rsidRPr="00294153" w:rsidRDefault="00294153" w:rsidP="00294153">
      <w:pPr>
        <w:shd w:val="clear" w:color="auto" w:fill="FFFFFF"/>
        <w:spacing w:after="0" w:line="360" w:lineRule="auto"/>
        <w:ind w:firstLine="708"/>
        <w:jc w:val="both"/>
        <w:rPr>
          <w:rFonts w:ascii="Times New Roman" w:hAnsi="Times New Roman"/>
          <w:sz w:val="28"/>
          <w:szCs w:val="28"/>
        </w:rPr>
      </w:pPr>
      <w:r w:rsidRPr="00294153">
        <w:rPr>
          <w:rFonts w:ascii="Times New Roman" w:hAnsi="Times New Roman"/>
          <w:sz w:val="28"/>
          <w:szCs w:val="28"/>
        </w:rPr>
        <w:t>В 2024 году организована третья ступень проекта «Инвестшкола» – «Инвестшкола 3.0.» (далее – Проект, Инвестшкола 3.0.). Сохранена практическая направленность проекта – большая его часть посвящена внедрению и реализации инвестиционного стандарта, дальнейшей проработке бизнес-идей. Кроме того, программа проекта дополнена новыми направлениями – специальным курсом для муниципалитетов арктической зоны, мероприятиями по вопросам разработки и внедрения муниципального инновационного стандарта. Аудитория проекта составила 908 человек (с учетом участников выездных экспертных сессий в 22 муниципальных образованиях автономного округа – представители предпринимательского сообщества, общественных и молодежных объединений). Расширена география проекта: так, в мероприятиях «Инвестшколы 3.0.» активное участие принимали инвестиционные команды из вновь присоединенных российских регионов – Донецкой и Луганской народных республик, заключено соглашение о сотрудничестве в рамках Инвестшколы с узбекскими коллегами –</w:t>
      </w:r>
      <w:r w:rsidRPr="00294153">
        <w:rPr>
          <w:rFonts w:ascii="Times New Roman" w:hAnsi="Times New Roman"/>
          <w:sz w:val="28"/>
          <w:szCs w:val="28"/>
          <w:lang w:eastAsia="ru-RU"/>
        </w:rPr>
        <w:t xml:space="preserve"> Агентством по привлечению иностранных инвестиций при Министерстве инвестиций, промышленности и торговли Республики Узбекистан.</w:t>
      </w:r>
    </w:p>
    <w:p w14:paraId="09A9DB95" w14:textId="77777777" w:rsidR="00294153" w:rsidRPr="00294153" w:rsidRDefault="00294153" w:rsidP="00294153">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При разработке программы Проекта в 2024 году учтены потребности профильных органов государственной власти Югры, запрос органов местного самоуправления муниципальных образований. Реализованы 14 обучающих мероприятий по вопросам разработки инвестиционных профилей муниципальных образований, нормативного правового регулирования запуска и реализации инвестиционного проекта в форме соглашения о защите и поощрении капиталовложений, маркетинга и брендинга и инвестиционной привлекательности территории, деятельности инвестиционных площадок и мерам поддержки субъектов инвестиционной предпринимательской </w:t>
      </w:r>
      <w:r w:rsidRPr="00294153">
        <w:rPr>
          <w:rFonts w:ascii="Times New Roman" w:hAnsi="Times New Roman"/>
          <w:sz w:val="28"/>
          <w:szCs w:val="28"/>
        </w:rPr>
        <w:lastRenderedPageBreak/>
        <w:t xml:space="preserve">деятельности, взаимодействия с ресурсоснабжающими организациями в части формирования алгоритмов действий («клиентского пути») инвестора, вопросам обеспечения условий для формирования благоприятного инвестиционного климата и содействия развитию конкуренции, о планах и перспективах развития инвестиционной деятельности Ханты-Мансийского автономного округа – Югры (применение механизмов КРТ, КС, МЧП), работы с цифровыми финансовыми активами. Учебные и практические мероприятия проводились в формате вебинаров, очных семинаров, курсов повышения квалификации, стратегических сессий, заседания экспертной площадки. Практическую эффективность подтвердили такие формы обучения, как «час с Департаментом», онлайн-практикумы «Инвестиционная карта Ханты-Мансийского автономного округа – Югры как основной инструмент привлечения инвесторов», вебинары на онлайн платформе «Инвестшколы» по вопросам интеллектуальной собственности и цифровых финансовых активов. </w:t>
      </w:r>
    </w:p>
    <w:p w14:paraId="54598D2A" w14:textId="77777777" w:rsidR="00294153" w:rsidRPr="00294153" w:rsidRDefault="00294153" w:rsidP="00294153">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В рамках проекта организована работа по обучению и координации работы муниципальных инвестиционных уполномоченных: на полях Югорского экономического форума проведены ряд специальных мероприятий (практическая сессия, дискуссия, тренинг) по актуальным вопросам организации их работы. </w:t>
      </w:r>
    </w:p>
    <w:p w14:paraId="0A895A47" w14:textId="77777777" w:rsidR="00294153" w:rsidRPr="00294153" w:rsidRDefault="00294153" w:rsidP="00294153">
      <w:pPr>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Продолжена практическая работа с разработанными в рамках проекта «Инвестшкола 2.0.» инвестиционными профилями муниципальных образований. Проведенный ранее комплекс мероприятий позволил определить направления инвестиционного развития муниципальных образований автономного округа до 2026 года, сформировать пул инвестиционных экономически эффективных проектов для реализации (проработано более 300 бизнес-идей, более 700 инвестиционных ниш), определить потенциальных интересантов в реализации инвестиционных проектов, выработать конкретные рекомендации по улучшению инвестиционной привлекательности для каждого муниципального образования автономного округа и повышению их инвестиционной </w:t>
      </w:r>
      <w:r w:rsidRPr="00294153">
        <w:rPr>
          <w:rFonts w:ascii="Times New Roman" w:hAnsi="Times New Roman"/>
          <w:sz w:val="28"/>
          <w:szCs w:val="28"/>
        </w:rPr>
        <w:lastRenderedPageBreak/>
        <w:t xml:space="preserve">активности. В целях актуализации идей инвестиционного профиля, приоритезации действий администраций муниципальных образований на 2024-2025 гг. и внедрения инвестиционных профилей в практику управления в третьем квартале 2024 года во всех муниципальных образованиях проведены экспертные сессии, на которых дополнены и актуализированы бизнес-идеи инвестиционных профилей, выделены наиболее перспективные из них для реализации в 2024-2025 гг., сформированы проекты дорожных карт конкретных действий администрации муниципальных образований. </w:t>
      </w:r>
    </w:p>
    <w:p w14:paraId="52591D59" w14:textId="77777777" w:rsidR="00294153" w:rsidRPr="00294153" w:rsidRDefault="00294153" w:rsidP="00294153">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В рамках Инвестшколы 3.0. организована разработка и внедрение инвестиционного профиля городского округа Макеевка Донецкой Народной Республики.</w:t>
      </w:r>
    </w:p>
    <w:p w14:paraId="3FC7CB14" w14:textId="77777777" w:rsidR="00294153" w:rsidRPr="00294153" w:rsidRDefault="00294153" w:rsidP="00294153">
      <w:pPr>
        <w:shd w:val="clear" w:color="auto" w:fill="FFFFFF"/>
        <w:spacing w:after="0" w:line="360" w:lineRule="auto"/>
        <w:ind w:firstLine="709"/>
        <w:jc w:val="both"/>
        <w:rPr>
          <w:rFonts w:ascii="Times New Roman" w:hAnsi="Times New Roman"/>
          <w:sz w:val="28"/>
          <w:szCs w:val="28"/>
          <w:lang w:eastAsia="ru-RU"/>
        </w:rPr>
      </w:pPr>
      <w:r w:rsidRPr="00294153">
        <w:rPr>
          <w:rFonts w:ascii="Times New Roman" w:hAnsi="Times New Roman"/>
          <w:sz w:val="28"/>
          <w:szCs w:val="28"/>
          <w:lang w:eastAsia="ru-RU"/>
        </w:rPr>
        <w:t>В целях развития и совершенствования компетенций региональных команд, осуществляющих деятельность в сфере привлечения инвестиций и работе с инвесторами, для кооперация усилий по привлечению инвестиций в инвестиционные проекты, обмена успешными практиками между Фондом развития Ханты-Мансийского автономного округа – Югры и Агентством по привлечению иностранных инвестиций при Министерстве инвестиций, промышленности и торговли</w:t>
      </w:r>
      <w:bookmarkStart w:id="7" w:name="_gjdgxs"/>
      <w:bookmarkEnd w:id="7"/>
      <w:r w:rsidRPr="00294153">
        <w:rPr>
          <w:rFonts w:ascii="Times New Roman" w:hAnsi="Times New Roman"/>
          <w:sz w:val="28"/>
          <w:szCs w:val="28"/>
          <w:lang w:eastAsia="ru-RU"/>
        </w:rPr>
        <w:t xml:space="preserve"> Республики Узбекистан заключено Соглашение о сотрудничестве в рамках обучающего проекта «Инвестшкола». </w:t>
      </w:r>
    </w:p>
    <w:p w14:paraId="6EC69FBF" w14:textId="77777777" w:rsidR="00294153" w:rsidRPr="00294153" w:rsidRDefault="00294153" w:rsidP="00294153">
      <w:pPr>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По поручениям органов государственной власти, для определения стратегических направлений, развития межрегионального взаимодействия отраслевых органов власти, институтов развития, бизнеса проведены 3 стратегические сессии по вопросам: развития рыбохозяйственного комплекса Ханты-Мансийского автономного округа – Югры, </w:t>
      </w:r>
      <w:r w:rsidRPr="00294153">
        <w:rPr>
          <w:rFonts w:ascii="Times New Roman" w:hAnsi="Times New Roman"/>
          <w:color w:val="000000"/>
          <w:sz w:val="28"/>
          <w:szCs w:val="28"/>
        </w:rPr>
        <w:t xml:space="preserve">улучшения деловой среды в Югре по направлениям Национального рейтинга (с участием АНО «Агентство стратегических инициатив по продвижению новых проектов»), </w:t>
      </w:r>
      <w:r w:rsidRPr="00294153">
        <w:rPr>
          <w:rFonts w:ascii="TimesNewRomanPSMT" w:hAnsi="TimesNewRomanPSMT" w:cs="TimesNewRomanPSMT"/>
          <w:sz w:val="28"/>
          <w:szCs w:val="28"/>
          <w:lang w:eastAsia="ru-RU"/>
        </w:rPr>
        <w:t xml:space="preserve">эффективности использования бюджетных средств в учреждениях социальной сферы. </w:t>
      </w:r>
      <w:r w:rsidRPr="00294153">
        <w:rPr>
          <w:rFonts w:ascii="Times New Roman" w:hAnsi="Times New Roman"/>
          <w:sz w:val="28"/>
          <w:szCs w:val="28"/>
        </w:rPr>
        <w:t xml:space="preserve">Общее количество участников стратсессий превысило 220 человек. </w:t>
      </w:r>
    </w:p>
    <w:p w14:paraId="7C44F214" w14:textId="77777777" w:rsidR="007F0177" w:rsidRDefault="007F0177" w:rsidP="00B77990">
      <w:pPr>
        <w:shd w:val="clear" w:color="auto" w:fill="FFFFFF"/>
        <w:spacing w:after="0" w:line="360" w:lineRule="auto"/>
        <w:ind w:firstLine="709"/>
        <w:jc w:val="both"/>
        <w:rPr>
          <w:rFonts w:ascii="Times New Roman" w:hAnsi="Times New Roman"/>
          <w:sz w:val="28"/>
          <w:szCs w:val="28"/>
          <w:u w:val="single"/>
        </w:rPr>
      </w:pPr>
    </w:p>
    <w:p w14:paraId="361731CC" w14:textId="77777777" w:rsidR="007F0177" w:rsidRDefault="007F0177" w:rsidP="00B77990">
      <w:pPr>
        <w:shd w:val="clear" w:color="auto" w:fill="FFFFFF"/>
        <w:spacing w:after="0" w:line="360" w:lineRule="auto"/>
        <w:ind w:firstLine="709"/>
        <w:jc w:val="both"/>
        <w:rPr>
          <w:rFonts w:ascii="Times New Roman" w:hAnsi="Times New Roman"/>
          <w:sz w:val="28"/>
          <w:szCs w:val="28"/>
          <w:u w:val="single"/>
        </w:rPr>
      </w:pPr>
    </w:p>
    <w:p w14:paraId="54EB484A" w14:textId="6649BE52" w:rsidR="00B77990" w:rsidRPr="00294153" w:rsidRDefault="00B77990" w:rsidP="00B77990">
      <w:pPr>
        <w:shd w:val="clear" w:color="auto" w:fill="FFFFFF"/>
        <w:spacing w:after="0" w:line="360" w:lineRule="auto"/>
        <w:ind w:firstLine="709"/>
        <w:jc w:val="both"/>
        <w:rPr>
          <w:rFonts w:ascii="Times New Roman" w:hAnsi="Times New Roman"/>
          <w:sz w:val="28"/>
          <w:szCs w:val="28"/>
          <w:u w:val="single"/>
        </w:rPr>
      </w:pPr>
      <w:r w:rsidRPr="00294153">
        <w:rPr>
          <w:rFonts w:ascii="Times New Roman" w:hAnsi="Times New Roman"/>
          <w:sz w:val="28"/>
          <w:szCs w:val="28"/>
          <w:u w:val="single"/>
        </w:rPr>
        <w:lastRenderedPageBreak/>
        <w:t>Взаимодействие со СМИ</w:t>
      </w:r>
    </w:p>
    <w:p w14:paraId="614119EB" w14:textId="77777777" w:rsidR="00B77990" w:rsidRPr="00294153" w:rsidRDefault="00B77990" w:rsidP="00B77990">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В федеральных, региональных, муниципальных, печатных и электронных СМИ (включая ТВ и радио) за 2024 год опубликовано 3 209 информационных материалов об инвестиционном и промышленном развитии региона, развитии туризма и агропромышленного комплекса (по данным системы Медиалогия), включая деятельность Фонда, на официальном сайте Фонда размещено 269 публикаций. Общее количество публикаций в социальных сетях Вконтакте и Телеграм в аккаунтах социальных сетей Фонда/Инвестиционного портала размещено 3 612 постов (Вконтакте 714/1 406, Телеграм – 654/838).</w:t>
      </w:r>
    </w:p>
    <w:p w14:paraId="198C40D0" w14:textId="77777777" w:rsidR="00B77990" w:rsidRPr="00294153" w:rsidRDefault="00B77990" w:rsidP="00B77990">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Организованы интервью, прямые эфиры и пресс-подходы для девяти руководителей органов власти и институтов развития Югры по вопросам промышленного развития, поддержки бизнеса в Югре. </w:t>
      </w:r>
    </w:p>
    <w:p w14:paraId="349F2961" w14:textId="77777777" w:rsidR="00B77990" w:rsidRPr="00294153" w:rsidRDefault="00B77990" w:rsidP="00B77990">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Разработаны 52 выпуска Дайджеста инвестиционной активности Ханты-Мансийского автономного округа, 51 выпуск туристического гида по Югре. </w:t>
      </w:r>
    </w:p>
    <w:p w14:paraId="59034275" w14:textId="77777777" w:rsidR="00752D81" w:rsidRPr="00294153" w:rsidRDefault="00B77990" w:rsidP="00752D81">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Разработаны 86 презентации, два флаера, четыре лифлета (2 - </w:t>
      </w:r>
      <w:r w:rsidR="00B01627" w:rsidRPr="00294153">
        <w:rPr>
          <w:rFonts w:ascii="Times New Roman" w:hAnsi="Times New Roman"/>
          <w:sz w:val="28"/>
          <w:szCs w:val="28"/>
        </w:rPr>
        <w:t>«</w:t>
      </w:r>
      <w:r w:rsidRPr="00294153">
        <w:rPr>
          <w:rFonts w:ascii="Times New Roman" w:hAnsi="Times New Roman"/>
          <w:sz w:val="28"/>
          <w:szCs w:val="28"/>
        </w:rPr>
        <w:t>Производители</w:t>
      </w:r>
      <w:r w:rsidR="00F7603D" w:rsidRPr="00294153">
        <w:rPr>
          <w:rFonts w:ascii="Times New Roman" w:hAnsi="Times New Roman"/>
          <w:sz w:val="28"/>
          <w:szCs w:val="28"/>
        </w:rPr>
        <w:t xml:space="preserve"> </w:t>
      </w:r>
      <w:r w:rsidRPr="00294153">
        <w:rPr>
          <w:rFonts w:ascii="Times New Roman" w:hAnsi="Times New Roman"/>
          <w:sz w:val="28"/>
          <w:szCs w:val="28"/>
        </w:rPr>
        <w:t>АПК Югры</w:t>
      </w:r>
      <w:r w:rsidR="00B01627" w:rsidRPr="00294153">
        <w:rPr>
          <w:rFonts w:ascii="Times New Roman" w:hAnsi="Times New Roman"/>
          <w:sz w:val="28"/>
          <w:szCs w:val="28"/>
        </w:rPr>
        <w:t>»</w:t>
      </w:r>
      <w:r w:rsidR="00F7603D" w:rsidRPr="00294153">
        <w:rPr>
          <w:rFonts w:ascii="Times New Roman" w:hAnsi="Times New Roman"/>
          <w:sz w:val="28"/>
          <w:szCs w:val="28"/>
        </w:rPr>
        <w:t xml:space="preserve"> </w:t>
      </w:r>
      <w:r w:rsidRPr="00294153">
        <w:rPr>
          <w:rFonts w:ascii="Times New Roman" w:hAnsi="Times New Roman"/>
          <w:sz w:val="28"/>
          <w:szCs w:val="28"/>
        </w:rPr>
        <w:t xml:space="preserve">, </w:t>
      </w:r>
      <w:r w:rsidR="00B01627" w:rsidRPr="00294153">
        <w:rPr>
          <w:rFonts w:ascii="Times New Roman" w:hAnsi="Times New Roman"/>
          <w:sz w:val="28"/>
          <w:szCs w:val="28"/>
        </w:rPr>
        <w:t>«</w:t>
      </w:r>
      <w:r w:rsidRPr="00294153">
        <w:rPr>
          <w:rFonts w:ascii="Times New Roman" w:hAnsi="Times New Roman"/>
          <w:sz w:val="28"/>
          <w:szCs w:val="28"/>
        </w:rPr>
        <w:t>ОЭЗ</w:t>
      </w:r>
      <w:r w:rsidR="00B01627" w:rsidRPr="00294153">
        <w:rPr>
          <w:rFonts w:ascii="Times New Roman" w:hAnsi="Times New Roman"/>
          <w:sz w:val="28"/>
          <w:szCs w:val="28"/>
        </w:rPr>
        <w:t>»</w:t>
      </w:r>
      <w:r w:rsidRPr="00294153">
        <w:rPr>
          <w:rFonts w:ascii="Times New Roman" w:hAnsi="Times New Roman"/>
          <w:sz w:val="28"/>
          <w:szCs w:val="28"/>
        </w:rPr>
        <w:t xml:space="preserve">, </w:t>
      </w:r>
      <w:r w:rsidR="00B01627" w:rsidRPr="00294153">
        <w:rPr>
          <w:rFonts w:ascii="Times New Roman" w:hAnsi="Times New Roman"/>
          <w:sz w:val="28"/>
          <w:szCs w:val="28"/>
        </w:rPr>
        <w:t>«</w:t>
      </w:r>
      <w:r w:rsidRPr="00294153">
        <w:rPr>
          <w:rFonts w:ascii="Times New Roman" w:hAnsi="Times New Roman"/>
          <w:sz w:val="28"/>
          <w:szCs w:val="28"/>
        </w:rPr>
        <w:t>Продукция АПК Югры</w:t>
      </w:r>
      <w:r w:rsidR="00B01627" w:rsidRPr="00294153">
        <w:rPr>
          <w:rFonts w:ascii="Times New Roman" w:hAnsi="Times New Roman"/>
          <w:sz w:val="28"/>
          <w:szCs w:val="28"/>
        </w:rPr>
        <w:t>»</w:t>
      </w:r>
      <w:r w:rsidRPr="00294153">
        <w:rPr>
          <w:rFonts w:ascii="Times New Roman" w:hAnsi="Times New Roman"/>
          <w:sz w:val="28"/>
          <w:szCs w:val="28"/>
        </w:rPr>
        <w:t xml:space="preserve">), буклет </w:t>
      </w:r>
      <w:r w:rsidR="00B01627" w:rsidRPr="00294153">
        <w:rPr>
          <w:rFonts w:ascii="Times New Roman" w:hAnsi="Times New Roman"/>
          <w:sz w:val="28"/>
          <w:szCs w:val="28"/>
        </w:rPr>
        <w:t>«</w:t>
      </w:r>
      <w:r w:rsidRPr="00294153">
        <w:rPr>
          <w:rFonts w:ascii="Times New Roman" w:hAnsi="Times New Roman"/>
          <w:sz w:val="28"/>
          <w:szCs w:val="28"/>
        </w:rPr>
        <w:t>Памятная монета Югры</w:t>
      </w:r>
      <w:r w:rsidR="00B01627" w:rsidRPr="00294153">
        <w:rPr>
          <w:rFonts w:ascii="Times New Roman" w:hAnsi="Times New Roman"/>
          <w:sz w:val="28"/>
          <w:szCs w:val="28"/>
        </w:rPr>
        <w:t>»</w:t>
      </w:r>
      <w:r w:rsidRPr="00294153">
        <w:rPr>
          <w:rFonts w:ascii="Times New Roman" w:hAnsi="Times New Roman"/>
          <w:sz w:val="28"/>
          <w:szCs w:val="28"/>
        </w:rPr>
        <w:t xml:space="preserve">, альбом реализуемых и планируемых инвестиционных проектов Югры, подготовлены видеоролик </w:t>
      </w:r>
      <w:r w:rsidR="00B01627" w:rsidRPr="00294153">
        <w:rPr>
          <w:rFonts w:ascii="Times New Roman" w:hAnsi="Times New Roman"/>
          <w:sz w:val="28"/>
          <w:szCs w:val="28"/>
        </w:rPr>
        <w:t>«</w:t>
      </w:r>
      <w:r w:rsidRPr="00294153">
        <w:rPr>
          <w:rFonts w:ascii="Times New Roman" w:hAnsi="Times New Roman"/>
          <w:sz w:val="28"/>
          <w:szCs w:val="28"/>
        </w:rPr>
        <w:t>Инвестиционный потенциал Югры</w:t>
      </w:r>
      <w:r w:rsidR="00B01627" w:rsidRPr="00294153">
        <w:rPr>
          <w:rFonts w:ascii="Times New Roman" w:hAnsi="Times New Roman"/>
          <w:sz w:val="28"/>
          <w:szCs w:val="28"/>
        </w:rPr>
        <w:t>»</w:t>
      </w:r>
      <w:r w:rsidRPr="00294153">
        <w:rPr>
          <w:rFonts w:ascii="Times New Roman" w:hAnsi="Times New Roman"/>
          <w:sz w:val="28"/>
          <w:szCs w:val="28"/>
        </w:rPr>
        <w:t xml:space="preserve"> на русском и китайском языках (по итогам 2023 года), видеоролик </w:t>
      </w:r>
      <w:r w:rsidR="00B01627" w:rsidRPr="00294153">
        <w:rPr>
          <w:rFonts w:ascii="Times New Roman" w:hAnsi="Times New Roman"/>
          <w:sz w:val="28"/>
          <w:szCs w:val="28"/>
        </w:rPr>
        <w:t>«</w:t>
      </w:r>
      <w:r w:rsidRPr="00294153">
        <w:rPr>
          <w:rFonts w:ascii="Times New Roman" w:hAnsi="Times New Roman"/>
          <w:sz w:val="28"/>
          <w:szCs w:val="28"/>
        </w:rPr>
        <w:t>Отчет Фонда развития Югры</w:t>
      </w:r>
      <w:r w:rsidR="00B01627" w:rsidRPr="00294153">
        <w:rPr>
          <w:rFonts w:ascii="Times New Roman" w:hAnsi="Times New Roman"/>
          <w:sz w:val="28"/>
          <w:szCs w:val="28"/>
        </w:rPr>
        <w:t>»</w:t>
      </w:r>
      <w:r w:rsidRPr="00294153">
        <w:rPr>
          <w:rFonts w:ascii="Times New Roman" w:hAnsi="Times New Roman"/>
          <w:sz w:val="28"/>
          <w:szCs w:val="28"/>
        </w:rPr>
        <w:t xml:space="preserve">, видеоролик </w:t>
      </w:r>
      <w:r w:rsidR="00B01627" w:rsidRPr="00294153">
        <w:rPr>
          <w:rFonts w:ascii="Times New Roman" w:hAnsi="Times New Roman"/>
          <w:sz w:val="28"/>
          <w:szCs w:val="28"/>
        </w:rPr>
        <w:t>«</w:t>
      </w:r>
      <w:r w:rsidRPr="00294153">
        <w:rPr>
          <w:rFonts w:ascii="Times New Roman" w:hAnsi="Times New Roman"/>
          <w:sz w:val="28"/>
          <w:szCs w:val="28"/>
        </w:rPr>
        <w:t>Региональный инвестиционный стандарт Югры</w:t>
      </w:r>
      <w:r w:rsidR="00B01627" w:rsidRPr="00294153">
        <w:rPr>
          <w:rFonts w:ascii="Times New Roman" w:hAnsi="Times New Roman"/>
          <w:sz w:val="28"/>
          <w:szCs w:val="28"/>
        </w:rPr>
        <w:t>»</w:t>
      </w:r>
      <w:r w:rsidRPr="00294153">
        <w:rPr>
          <w:rFonts w:ascii="Times New Roman" w:hAnsi="Times New Roman"/>
          <w:sz w:val="28"/>
          <w:szCs w:val="28"/>
        </w:rPr>
        <w:t xml:space="preserve">, презентационные ролики </w:t>
      </w:r>
      <w:r w:rsidR="00B01627" w:rsidRPr="00294153">
        <w:rPr>
          <w:rFonts w:ascii="Times New Roman" w:hAnsi="Times New Roman"/>
          <w:sz w:val="28"/>
          <w:szCs w:val="28"/>
        </w:rPr>
        <w:t>«</w:t>
      </w:r>
      <w:r w:rsidRPr="00294153">
        <w:rPr>
          <w:rFonts w:ascii="Times New Roman" w:hAnsi="Times New Roman"/>
          <w:sz w:val="28"/>
          <w:szCs w:val="28"/>
        </w:rPr>
        <w:t>Индустриальные парки Югры</w:t>
      </w:r>
      <w:r w:rsidR="00B01627" w:rsidRPr="00294153">
        <w:rPr>
          <w:rFonts w:ascii="Times New Roman" w:hAnsi="Times New Roman"/>
          <w:sz w:val="28"/>
          <w:szCs w:val="28"/>
        </w:rPr>
        <w:t>»</w:t>
      </w:r>
      <w:r w:rsidRPr="00294153">
        <w:rPr>
          <w:rFonts w:ascii="Times New Roman" w:hAnsi="Times New Roman"/>
          <w:sz w:val="28"/>
          <w:szCs w:val="28"/>
        </w:rPr>
        <w:t xml:space="preserve">, </w:t>
      </w:r>
      <w:r w:rsidR="00B01627" w:rsidRPr="00294153">
        <w:rPr>
          <w:rFonts w:ascii="Times New Roman" w:hAnsi="Times New Roman"/>
          <w:sz w:val="28"/>
          <w:szCs w:val="28"/>
        </w:rPr>
        <w:t>«</w:t>
      </w:r>
      <w:r w:rsidRPr="00294153">
        <w:rPr>
          <w:rFonts w:ascii="Times New Roman" w:hAnsi="Times New Roman"/>
          <w:sz w:val="28"/>
          <w:szCs w:val="28"/>
        </w:rPr>
        <w:t>Особая экономическая зоны</w:t>
      </w:r>
      <w:r w:rsidR="00B01627" w:rsidRPr="00294153">
        <w:rPr>
          <w:rFonts w:ascii="Times New Roman" w:hAnsi="Times New Roman"/>
          <w:sz w:val="28"/>
          <w:szCs w:val="28"/>
        </w:rPr>
        <w:t>»</w:t>
      </w:r>
      <w:r w:rsidRPr="00294153">
        <w:rPr>
          <w:rFonts w:ascii="Times New Roman" w:hAnsi="Times New Roman"/>
          <w:sz w:val="28"/>
          <w:szCs w:val="28"/>
        </w:rPr>
        <w:t xml:space="preserve">, </w:t>
      </w:r>
      <w:r w:rsidR="00B01627" w:rsidRPr="00294153">
        <w:rPr>
          <w:rFonts w:ascii="Times New Roman" w:hAnsi="Times New Roman"/>
          <w:sz w:val="28"/>
          <w:szCs w:val="28"/>
        </w:rPr>
        <w:t>«</w:t>
      </w:r>
      <w:r w:rsidRPr="00294153">
        <w:rPr>
          <w:rFonts w:ascii="Times New Roman" w:hAnsi="Times New Roman"/>
          <w:sz w:val="28"/>
          <w:szCs w:val="28"/>
        </w:rPr>
        <w:t>Предприятия АПК Югры</w:t>
      </w:r>
      <w:r w:rsidR="00B01627" w:rsidRPr="00294153">
        <w:rPr>
          <w:rFonts w:ascii="Times New Roman" w:hAnsi="Times New Roman"/>
          <w:sz w:val="28"/>
          <w:szCs w:val="28"/>
        </w:rPr>
        <w:t>»</w:t>
      </w:r>
      <w:r w:rsidRPr="00294153">
        <w:rPr>
          <w:rFonts w:ascii="Times New Roman" w:hAnsi="Times New Roman"/>
          <w:sz w:val="28"/>
          <w:szCs w:val="28"/>
        </w:rPr>
        <w:t xml:space="preserve">, видеоролик </w:t>
      </w:r>
      <w:r w:rsidR="00B01627" w:rsidRPr="00294153">
        <w:rPr>
          <w:rFonts w:ascii="Times New Roman" w:hAnsi="Times New Roman"/>
          <w:sz w:val="28"/>
          <w:szCs w:val="28"/>
        </w:rPr>
        <w:t>«</w:t>
      </w:r>
      <w:r w:rsidRPr="00294153">
        <w:rPr>
          <w:rFonts w:ascii="Times New Roman" w:hAnsi="Times New Roman"/>
          <w:sz w:val="28"/>
          <w:szCs w:val="28"/>
        </w:rPr>
        <w:t>Югорский экономический форум 2024</w:t>
      </w:r>
      <w:r w:rsidR="00B01627" w:rsidRPr="00294153">
        <w:rPr>
          <w:rFonts w:ascii="Times New Roman" w:hAnsi="Times New Roman"/>
          <w:sz w:val="28"/>
          <w:szCs w:val="28"/>
        </w:rPr>
        <w:t>»</w:t>
      </w:r>
      <w:r w:rsidRPr="00294153">
        <w:rPr>
          <w:rFonts w:ascii="Times New Roman" w:hAnsi="Times New Roman"/>
          <w:sz w:val="28"/>
          <w:szCs w:val="28"/>
        </w:rPr>
        <w:t xml:space="preserve">, видеоролик-приглашение </w:t>
      </w:r>
      <w:r w:rsidR="00B01627" w:rsidRPr="00294153">
        <w:rPr>
          <w:rFonts w:ascii="Times New Roman" w:hAnsi="Times New Roman"/>
          <w:sz w:val="28"/>
          <w:szCs w:val="28"/>
        </w:rPr>
        <w:t>«</w:t>
      </w:r>
      <w:r w:rsidRPr="00294153">
        <w:rPr>
          <w:rFonts w:ascii="Times New Roman" w:hAnsi="Times New Roman"/>
          <w:sz w:val="28"/>
          <w:szCs w:val="28"/>
        </w:rPr>
        <w:t>Товары земли Югорской</w:t>
      </w:r>
      <w:r w:rsidR="00B01627" w:rsidRPr="00294153">
        <w:rPr>
          <w:rFonts w:ascii="Times New Roman" w:hAnsi="Times New Roman"/>
          <w:sz w:val="28"/>
          <w:szCs w:val="28"/>
        </w:rPr>
        <w:t>»</w:t>
      </w:r>
      <w:r w:rsidRPr="00294153">
        <w:rPr>
          <w:rFonts w:ascii="Times New Roman" w:hAnsi="Times New Roman"/>
          <w:sz w:val="28"/>
          <w:szCs w:val="28"/>
        </w:rPr>
        <w:t xml:space="preserve">, видеоролик с итогами </w:t>
      </w:r>
      <w:r w:rsidR="00B01627" w:rsidRPr="00294153">
        <w:rPr>
          <w:rFonts w:ascii="Times New Roman" w:hAnsi="Times New Roman"/>
          <w:sz w:val="28"/>
          <w:szCs w:val="28"/>
        </w:rPr>
        <w:t>«</w:t>
      </w:r>
      <w:r w:rsidRPr="00294153">
        <w:rPr>
          <w:rFonts w:ascii="Times New Roman" w:hAnsi="Times New Roman"/>
          <w:sz w:val="28"/>
          <w:szCs w:val="28"/>
        </w:rPr>
        <w:t>Товаров земли Югорской</w:t>
      </w:r>
      <w:r w:rsidR="00B01627" w:rsidRPr="00294153">
        <w:rPr>
          <w:rFonts w:ascii="Times New Roman" w:hAnsi="Times New Roman"/>
          <w:sz w:val="28"/>
          <w:szCs w:val="28"/>
        </w:rPr>
        <w:t>»</w:t>
      </w:r>
      <w:r w:rsidRPr="00294153">
        <w:rPr>
          <w:rFonts w:ascii="Times New Roman" w:hAnsi="Times New Roman"/>
          <w:sz w:val="28"/>
          <w:szCs w:val="28"/>
        </w:rPr>
        <w:t xml:space="preserve">, видеоролик </w:t>
      </w:r>
      <w:r w:rsidR="00B01627" w:rsidRPr="00294153">
        <w:rPr>
          <w:rFonts w:ascii="Times New Roman" w:hAnsi="Times New Roman"/>
          <w:sz w:val="28"/>
          <w:szCs w:val="28"/>
        </w:rPr>
        <w:t>«</w:t>
      </w:r>
      <w:r w:rsidRPr="00294153">
        <w:rPr>
          <w:rFonts w:ascii="Times New Roman" w:hAnsi="Times New Roman"/>
          <w:sz w:val="28"/>
          <w:szCs w:val="28"/>
        </w:rPr>
        <w:t xml:space="preserve">Итоги нацпроекта </w:t>
      </w:r>
      <w:r w:rsidR="00B01627" w:rsidRPr="00294153">
        <w:rPr>
          <w:rFonts w:ascii="Times New Roman" w:hAnsi="Times New Roman"/>
          <w:sz w:val="28"/>
          <w:szCs w:val="28"/>
        </w:rPr>
        <w:t>«</w:t>
      </w:r>
      <w:r w:rsidRPr="00294153">
        <w:rPr>
          <w:rFonts w:ascii="Times New Roman" w:hAnsi="Times New Roman"/>
          <w:sz w:val="28"/>
          <w:szCs w:val="28"/>
        </w:rPr>
        <w:t>Производительность труда</w:t>
      </w:r>
      <w:r w:rsidR="00B01627" w:rsidRPr="00294153">
        <w:rPr>
          <w:rFonts w:ascii="Times New Roman" w:hAnsi="Times New Roman"/>
          <w:sz w:val="28"/>
          <w:szCs w:val="28"/>
        </w:rPr>
        <w:t>»</w:t>
      </w:r>
      <w:r w:rsidRPr="00294153">
        <w:rPr>
          <w:rFonts w:ascii="Times New Roman" w:hAnsi="Times New Roman"/>
          <w:sz w:val="28"/>
          <w:szCs w:val="28"/>
        </w:rPr>
        <w:t xml:space="preserve"> в Югре</w:t>
      </w:r>
      <w:r w:rsidR="00B01627" w:rsidRPr="00294153">
        <w:rPr>
          <w:rFonts w:ascii="Times New Roman" w:hAnsi="Times New Roman"/>
          <w:sz w:val="28"/>
          <w:szCs w:val="28"/>
        </w:rPr>
        <w:t>»</w:t>
      </w:r>
      <w:r w:rsidRPr="00294153">
        <w:rPr>
          <w:rFonts w:ascii="Times New Roman" w:hAnsi="Times New Roman"/>
          <w:sz w:val="28"/>
          <w:szCs w:val="28"/>
        </w:rPr>
        <w:t xml:space="preserve">. </w:t>
      </w:r>
    </w:p>
    <w:p w14:paraId="6D1962A2" w14:textId="77777777" w:rsidR="00BB3AE4" w:rsidRPr="00294153" w:rsidRDefault="00BB3AE4" w:rsidP="00BB3AE4">
      <w:pPr>
        <w:shd w:val="clear" w:color="auto" w:fill="FFFFFF"/>
        <w:spacing w:after="0" w:line="360" w:lineRule="auto"/>
        <w:ind w:firstLine="709"/>
        <w:jc w:val="both"/>
        <w:rPr>
          <w:rFonts w:ascii="Times New Roman" w:hAnsi="Times New Roman"/>
          <w:b/>
          <w:bCs/>
          <w:iCs/>
          <w:sz w:val="28"/>
          <w:szCs w:val="28"/>
        </w:rPr>
      </w:pPr>
    </w:p>
    <w:p w14:paraId="2E26D409" w14:textId="77777777" w:rsidR="007F0177" w:rsidRDefault="007F0177" w:rsidP="00BB3AE4">
      <w:pPr>
        <w:shd w:val="clear" w:color="auto" w:fill="FFFFFF"/>
        <w:spacing w:after="0" w:line="360" w:lineRule="auto"/>
        <w:ind w:firstLine="709"/>
        <w:jc w:val="both"/>
        <w:rPr>
          <w:rFonts w:ascii="Times New Roman" w:hAnsi="Times New Roman"/>
          <w:iCs/>
          <w:sz w:val="28"/>
          <w:szCs w:val="28"/>
          <w:u w:val="single"/>
        </w:rPr>
      </w:pPr>
    </w:p>
    <w:p w14:paraId="7AA754A7" w14:textId="77777777" w:rsidR="007F0177" w:rsidRDefault="007F0177" w:rsidP="00BB3AE4">
      <w:pPr>
        <w:shd w:val="clear" w:color="auto" w:fill="FFFFFF"/>
        <w:spacing w:after="0" w:line="360" w:lineRule="auto"/>
        <w:ind w:firstLine="709"/>
        <w:jc w:val="both"/>
        <w:rPr>
          <w:rFonts w:ascii="Times New Roman" w:hAnsi="Times New Roman"/>
          <w:iCs/>
          <w:sz w:val="28"/>
          <w:szCs w:val="28"/>
          <w:u w:val="single"/>
        </w:rPr>
      </w:pPr>
    </w:p>
    <w:p w14:paraId="01E9E2C8" w14:textId="50482459" w:rsidR="00BB3AE4" w:rsidRPr="00294153" w:rsidRDefault="00BB3AE4" w:rsidP="00BB3AE4">
      <w:pPr>
        <w:shd w:val="clear" w:color="auto" w:fill="FFFFFF"/>
        <w:spacing w:after="0" w:line="360" w:lineRule="auto"/>
        <w:ind w:firstLine="709"/>
        <w:jc w:val="both"/>
        <w:rPr>
          <w:rFonts w:ascii="Times New Roman" w:hAnsi="Times New Roman"/>
          <w:iCs/>
          <w:sz w:val="28"/>
          <w:szCs w:val="28"/>
          <w:u w:val="single"/>
        </w:rPr>
      </w:pPr>
      <w:r w:rsidRPr="00294153">
        <w:rPr>
          <w:rFonts w:ascii="Times New Roman" w:hAnsi="Times New Roman"/>
          <w:iCs/>
          <w:sz w:val="28"/>
          <w:szCs w:val="28"/>
          <w:u w:val="single"/>
        </w:rPr>
        <w:lastRenderedPageBreak/>
        <w:t>Оценка инвестиционных проектов и иная деятельность Центра государственно-частного партнерства</w:t>
      </w:r>
    </w:p>
    <w:p w14:paraId="04ADC4F0"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С участием Центра государственно-частного партнерства (далее Центр ГЧП) </w:t>
      </w:r>
      <w:r w:rsidR="00F7603D" w:rsidRPr="00294153">
        <w:rPr>
          <w:rFonts w:ascii="Times New Roman" w:hAnsi="Times New Roman"/>
          <w:sz w:val="28"/>
          <w:szCs w:val="28"/>
        </w:rPr>
        <w:t xml:space="preserve">на </w:t>
      </w:r>
      <w:r w:rsidRPr="00294153">
        <w:rPr>
          <w:rFonts w:ascii="Times New Roman" w:hAnsi="Times New Roman"/>
          <w:sz w:val="28"/>
          <w:szCs w:val="28"/>
        </w:rPr>
        <w:t>основании концессионных соглашений, соглашений о государственно-частном партнерстве, соглашений о реализации инвестиционных проектов заключены и сопровождается 31 инфраструктурный проект с объемом инвестиций 69 млрд рублей, в том числе:</w:t>
      </w:r>
    </w:p>
    <w:p w14:paraId="1968DA19"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 в сфере транспортной инфраструктуры – 1 проект, объем инвестиций – 4,4 млрд рублей;  </w:t>
      </w:r>
    </w:p>
    <w:p w14:paraId="6683B04F"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в сфере образования – 12 проектов, объем инвестиций – 23,5 млрд рублей;</w:t>
      </w:r>
    </w:p>
    <w:p w14:paraId="650FC357"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в сфере спорта – 4 проекта, объем инвестиций – 1,2 млрд рублей;</w:t>
      </w:r>
    </w:p>
    <w:p w14:paraId="28C5D3B2"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в сфере здравоохранения - 1 проект, объем инвестиций – 10,9 млрд рублей.</w:t>
      </w:r>
    </w:p>
    <w:p w14:paraId="53797F89"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Ежедневно осуществляется администрирование системы </w:t>
      </w:r>
      <w:r w:rsidR="00B01627" w:rsidRPr="00294153">
        <w:rPr>
          <w:rFonts w:ascii="Times New Roman" w:hAnsi="Times New Roman"/>
          <w:sz w:val="28"/>
          <w:szCs w:val="28"/>
        </w:rPr>
        <w:t>«</w:t>
      </w:r>
      <w:r w:rsidRPr="00294153">
        <w:rPr>
          <w:rFonts w:ascii="Times New Roman" w:hAnsi="Times New Roman"/>
          <w:sz w:val="28"/>
          <w:szCs w:val="28"/>
        </w:rPr>
        <w:t>Оценка инвестиционных проектов Ханты-Мансийского автономного округа – Югры</w:t>
      </w:r>
      <w:r w:rsidR="00B01627" w:rsidRPr="00294153">
        <w:rPr>
          <w:rFonts w:ascii="Times New Roman" w:hAnsi="Times New Roman"/>
          <w:sz w:val="28"/>
          <w:szCs w:val="28"/>
        </w:rPr>
        <w:t>»</w:t>
      </w:r>
      <w:r w:rsidRPr="00294153">
        <w:rPr>
          <w:rFonts w:ascii="Times New Roman" w:hAnsi="Times New Roman"/>
          <w:sz w:val="28"/>
          <w:szCs w:val="28"/>
        </w:rPr>
        <w:t xml:space="preserve">. В 2024 году на основании предложений от </w:t>
      </w:r>
      <w:r w:rsidR="002F7B3E" w:rsidRPr="00294153">
        <w:rPr>
          <w:rFonts w:ascii="Times New Roman" w:hAnsi="Times New Roman"/>
          <w:sz w:val="28"/>
          <w:szCs w:val="28"/>
        </w:rPr>
        <w:t>исполнительных органов автономного округа</w:t>
      </w:r>
      <w:r w:rsidRPr="00294153">
        <w:rPr>
          <w:rFonts w:ascii="Times New Roman" w:hAnsi="Times New Roman"/>
          <w:sz w:val="28"/>
          <w:szCs w:val="28"/>
        </w:rPr>
        <w:t xml:space="preserve"> подготовлено техническое задание и заключен договор на модернизацию системы. </w:t>
      </w:r>
    </w:p>
    <w:p w14:paraId="771E8428"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Проведены обучающие мероприятия по тематике ГЧП. </w:t>
      </w:r>
    </w:p>
    <w:p w14:paraId="68C0E71E" w14:textId="77777777" w:rsidR="00BB3AE4" w:rsidRPr="00294153" w:rsidRDefault="00BB3AE4" w:rsidP="00BB3AE4">
      <w:pPr>
        <w:shd w:val="clear" w:color="auto" w:fill="FFFFFF"/>
        <w:spacing w:after="0" w:line="360" w:lineRule="auto"/>
        <w:ind w:firstLine="709"/>
        <w:jc w:val="both"/>
        <w:rPr>
          <w:rFonts w:ascii="Times New Roman" w:hAnsi="Times New Roman"/>
          <w:sz w:val="28"/>
          <w:szCs w:val="28"/>
        </w:rPr>
      </w:pPr>
      <w:r w:rsidRPr="00294153">
        <w:rPr>
          <w:rFonts w:ascii="Times New Roman" w:hAnsi="Times New Roman"/>
          <w:sz w:val="28"/>
          <w:szCs w:val="28"/>
        </w:rPr>
        <w:t xml:space="preserve">В рамках программы обучения </w:t>
      </w:r>
      <w:r w:rsidR="00B01627" w:rsidRPr="00294153">
        <w:rPr>
          <w:rFonts w:ascii="Times New Roman" w:hAnsi="Times New Roman"/>
          <w:sz w:val="28"/>
          <w:szCs w:val="28"/>
        </w:rPr>
        <w:t>«</w:t>
      </w:r>
      <w:r w:rsidRPr="00294153">
        <w:rPr>
          <w:rFonts w:ascii="Times New Roman" w:hAnsi="Times New Roman"/>
          <w:sz w:val="28"/>
          <w:szCs w:val="28"/>
        </w:rPr>
        <w:t>Инвестшкола</w:t>
      </w:r>
      <w:r w:rsidR="00B01627" w:rsidRPr="00294153">
        <w:rPr>
          <w:rFonts w:ascii="Times New Roman" w:hAnsi="Times New Roman"/>
          <w:sz w:val="28"/>
          <w:szCs w:val="28"/>
        </w:rPr>
        <w:t>»</w:t>
      </w:r>
      <w:r w:rsidRPr="00294153">
        <w:rPr>
          <w:rFonts w:ascii="Times New Roman" w:hAnsi="Times New Roman"/>
          <w:sz w:val="28"/>
          <w:szCs w:val="28"/>
        </w:rPr>
        <w:t xml:space="preserve"> в феврале и марте 2024 проведены вебинары на тему: </w:t>
      </w:r>
      <w:r w:rsidR="00B01627" w:rsidRPr="00294153">
        <w:rPr>
          <w:rFonts w:ascii="Times New Roman" w:hAnsi="Times New Roman"/>
          <w:sz w:val="28"/>
          <w:szCs w:val="28"/>
        </w:rPr>
        <w:t>«</w:t>
      </w:r>
      <w:r w:rsidRPr="00294153">
        <w:rPr>
          <w:rFonts w:ascii="Times New Roman" w:hAnsi="Times New Roman"/>
          <w:sz w:val="28"/>
          <w:szCs w:val="28"/>
        </w:rPr>
        <w:t xml:space="preserve">Соглашения о защите и поощрении капиталовложений. В апреле 2024 организовано проведение заседания экспертной площадки НААИР.ГЧП на тему </w:t>
      </w:r>
      <w:r w:rsidR="00B01627" w:rsidRPr="00294153">
        <w:rPr>
          <w:rFonts w:ascii="Times New Roman" w:hAnsi="Times New Roman"/>
          <w:sz w:val="28"/>
          <w:szCs w:val="28"/>
        </w:rPr>
        <w:t>«</w:t>
      </w:r>
      <w:r w:rsidRPr="00294153">
        <w:rPr>
          <w:rFonts w:ascii="Times New Roman" w:hAnsi="Times New Roman"/>
          <w:sz w:val="28"/>
          <w:szCs w:val="28"/>
        </w:rPr>
        <w:t>Государственно-частное партнёрство в спорте</w:t>
      </w:r>
      <w:r w:rsidR="00B01627" w:rsidRPr="00294153">
        <w:rPr>
          <w:rFonts w:ascii="Times New Roman" w:hAnsi="Times New Roman"/>
          <w:sz w:val="28"/>
          <w:szCs w:val="28"/>
        </w:rPr>
        <w:t>»</w:t>
      </w:r>
      <w:r w:rsidRPr="00294153">
        <w:rPr>
          <w:rFonts w:ascii="Times New Roman" w:hAnsi="Times New Roman"/>
          <w:sz w:val="28"/>
          <w:szCs w:val="28"/>
        </w:rPr>
        <w:t xml:space="preserve">, на котором обсуждены актуальные вопросы реализации ГЧП-проектов в сфере спорта (участники: члены Национальной ассоциации агентств инвестиций и развития, представители органов власти, консультанты, иные заинтересованные лица). На Югорском экономическом форуме в ноябре 2024 организовано проведение заседания экспертной площадки НААИР.ГЧП на тему </w:t>
      </w:r>
      <w:r w:rsidR="00B01627" w:rsidRPr="00294153">
        <w:rPr>
          <w:rFonts w:ascii="Times New Roman" w:hAnsi="Times New Roman"/>
          <w:sz w:val="28"/>
          <w:szCs w:val="28"/>
        </w:rPr>
        <w:t>«</w:t>
      </w:r>
      <w:r w:rsidRPr="00294153">
        <w:rPr>
          <w:rFonts w:ascii="Times New Roman" w:hAnsi="Times New Roman"/>
          <w:sz w:val="28"/>
          <w:szCs w:val="28"/>
        </w:rPr>
        <w:t xml:space="preserve">Государственно-частное партнерство: </w:t>
      </w:r>
      <w:r w:rsidRPr="00294153">
        <w:rPr>
          <w:rFonts w:ascii="Times New Roman" w:hAnsi="Times New Roman"/>
          <w:sz w:val="28"/>
          <w:szCs w:val="28"/>
        </w:rPr>
        <w:lastRenderedPageBreak/>
        <w:t>инструменты участия бизнеса в проектах национального развития</w:t>
      </w:r>
      <w:r w:rsidR="00B01627" w:rsidRPr="00294153">
        <w:rPr>
          <w:rFonts w:ascii="Times New Roman" w:hAnsi="Times New Roman"/>
          <w:sz w:val="28"/>
          <w:szCs w:val="28"/>
        </w:rPr>
        <w:t>»</w:t>
      </w:r>
      <w:r w:rsidRPr="00294153">
        <w:rPr>
          <w:rFonts w:ascii="Times New Roman" w:hAnsi="Times New Roman"/>
          <w:sz w:val="28"/>
          <w:szCs w:val="28"/>
        </w:rPr>
        <w:t xml:space="preserve">, а также сессия </w:t>
      </w:r>
      <w:r w:rsidR="00B01627" w:rsidRPr="00294153">
        <w:rPr>
          <w:rFonts w:ascii="Times New Roman" w:hAnsi="Times New Roman"/>
          <w:sz w:val="28"/>
          <w:szCs w:val="28"/>
        </w:rPr>
        <w:t>«</w:t>
      </w:r>
      <w:r w:rsidRPr="00294153">
        <w:rPr>
          <w:rFonts w:ascii="Times New Roman" w:hAnsi="Times New Roman"/>
          <w:sz w:val="28"/>
          <w:szCs w:val="28"/>
        </w:rPr>
        <w:t>Платформа бизнес-коммуникаций. Как крупным заказчикам выстроить взаимовыгодное партнерство с субъектами МСП?</w:t>
      </w:r>
      <w:r w:rsidR="00B01627" w:rsidRPr="00294153">
        <w:rPr>
          <w:rFonts w:ascii="Times New Roman" w:hAnsi="Times New Roman"/>
          <w:sz w:val="28"/>
          <w:szCs w:val="28"/>
        </w:rPr>
        <w:t>»</w:t>
      </w:r>
      <w:r w:rsidRPr="00294153">
        <w:rPr>
          <w:rFonts w:ascii="Times New Roman" w:hAnsi="Times New Roman"/>
          <w:sz w:val="28"/>
          <w:szCs w:val="28"/>
        </w:rPr>
        <w:t>.</w:t>
      </w:r>
    </w:p>
    <w:p w14:paraId="4B6F5C04" w14:textId="77777777" w:rsidR="00752D81" w:rsidRPr="00294153" w:rsidRDefault="00752D81" w:rsidP="00752D81">
      <w:pPr>
        <w:shd w:val="clear" w:color="auto" w:fill="FFFFFF"/>
        <w:spacing w:after="0" w:line="360" w:lineRule="auto"/>
        <w:ind w:firstLine="709"/>
        <w:jc w:val="both"/>
        <w:rPr>
          <w:rFonts w:ascii="Times New Roman" w:hAnsi="Times New Roman"/>
          <w:b/>
          <w:sz w:val="28"/>
          <w:szCs w:val="28"/>
        </w:rPr>
      </w:pPr>
      <w:r w:rsidRPr="00294153">
        <w:rPr>
          <w:rFonts w:ascii="Times New Roman" w:hAnsi="Times New Roman"/>
          <w:b/>
          <w:bCs/>
          <w:sz w:val="28"/>
          <w:szCs w:val="28"/>
        </w:rPr>
        <w:t>Ц</w:t>
      </w:r>
      <w:r w:rsidRPr="00294153">
        <w:rPr>
          <w:rFonts w:ascii="Times New Roman" w:hAnsi="Times New Roman"/>
          <w:b/>
          <w:sz w:val="28"/>
          <w:szCs w:val="28"/>
        </w:rPr>
        <w:t>ентр компетенций в сфере производительности труда</w:t>
      </w:r>
      <w:r w:rsidR="00294153" w:rsidRPr="00294153">
        <w:rPr>
          <w:rFonts w:ascii="Times New Roman" w:hAnsi="Times New Roman"/>
          <w:b/>
          <w:sz w:val="28"/>
          <w:szCs w:val="28"/>
        </w:rPr>
        <w:t>.</w:t>
      </w:r>
    </w:p>
    <w:p w14:paraId="0A29D16F" w14:textId="77777777" w:rsidR="00752D81" w:rsidRPr="00294153" w:rsidRDefault="002F7B3E" w:rsidP="00752D81">
      <w:pPr>
        <w:tabs>
          <w:tab w:val="left" w:pos="567"/>
        </w:tabs>
        <w:spacing w:line="360" w:lineRule="auto"/>
        <w:ind w:firstLine="709"/>
        <w:contextualSpacing/>
        <w:jc w:val="both"/>
        <w:rPr>
          <w:rFonts w:ascii="Times New Roman" w:hAnsi="Times New Roman"/>
          <w:sz w:val="28"/>
          <w:szCs w:val="28"/>
        </w:rPr>
      </w:pPr>
      <w:r w:rsidRPr="00294153">
        <w:rPr>
          <w:rFonts w:ascii="Times New Roman" w:hAnsi="Times New Roman"/>
          <w:sz w:val="28"/>
          <w:szCs w:val="28"/>
        </w:rPr>
        <w:t xml:space="preserve">С </w:t>
      </w:r>
      <w:r w:rsidR="00752D81" w:rsidRPr="00294153">
        <w:rPr>
          <w:rFonts w:ascii="Times New Roman" w:hAnsi="Times New Roman"/>
          <w:sz w:val="28"/>
          <w:szCs w:val="28"/>
        </w:rPr>
        <w:t>1 июля 2024 года Центр компетенций в сфере производительности труда (далее – РЦК) включен в состав Фонда развития Югры с целью дальнейшей реализации мероприятий по повышению производительности труда, в том числе с привлечением внешних организаций, на предприятиях базовых несырьевых отраслей экономики, в том числе государственных компаниях, компаниях с государственным участием, для экспортно-ориентированных субъектов малого и среднего предпринимательства, бюджетных учреждений, а также в учреждениях социальной сферы Югры с помощью региональной инфраструктуры обеспечения повышения производительности труда в рамках реализации федеральных (национальных) и (или) региональных проектов.</w:t>
      </w:r>
    </w:p>
    <w:p w14:paraId="015449D9" w14:textId="77777777" w:rsidR="00752D81" w:rsidRPr="00294153" w:rsidRDefault="00752D81" w:rsidP="00752D81">
      <w:pPr>
        <w:tabs>
          <w:tab w:val="left" w:pos="567"/>
        </w:tabs>
        <w:spacing w:after="0" w:line="360" w:lineRule="auto"/>
        <w:jc w:val="both"/>
        <w:rPr>
          <w:rFonts w:ascii="Times New Roman" w:hAnsi="Times New Roman"/>
          <w:kern w:val="2"/>
          <w:sz w:val="28"/>
          <w:szCs w:val="28"/>
        </w:rPr>
      </w:pPr>
      <w:r w:rsidRPr="00294153">
        <w:rPr>
          <w:kern w:val="2"/>
        </w:rPr>
        <w:tab/>
      </w:r>
      <w:r w:rsidRPr="00294153">
        <w:rPr>
          <w:rFonts w:ascii="Times New Roman" w:hAnsi="Times New Roman"/>
          <w:kern w:val="2"/>
          <w:sz w:val="28"/>
          <w:szCs w:val="28"/>
        </w:rPr>
        <w:t>За 2024 год Центром компетенции в сфере производительности труда выполнена следующая работа:</w:t>
      </w:r>
    </w:p>
    <w:p w14:paraId="19A1B7FE" w14:textId="77777777" w:rsidR="00752D81" w:rsidRPr="00294153" w:rsidRDefault="00752D81" w:rsidP="00752D81">
      <w:pPr>
        <w:tabs>
          <w:tab w:val="left" w:pos="567"/>
        </w:tabs>
        <w:spacing w:after="0" w:line="360" w:lineRule="auto"/>
        <w:jc w:val="both"/>
        <w:rPr>
          <w:rFonts w:ascii="Times New Roman" w:hAnsi="Times New Roman"/>
          <w:kern w:val="2"/>
          <w:sz w:val="28"/>
          <w:szCs w:val="28"/>
        </w:rPr>
      </w:pPr>
      <w:r w:rsidRPr="00294153">
        <w:rPr>
          <w:rFonts w:ascii="Times New Roman" w:hAnsi="Times New Roman"/>
          <w:kern w:val="2"/>
          <w:sz w:val="28"/>
          <w:szCs w:val="28"/>
        </w:rPr>
        <w:tab/>
        <w:t xml:space="preserve">1. В рамках реализации национального проекта </w:t>
      </w:r>
      <w:r w:rsidR="00B01627" w:rsidRPr="00294153">
        <w:rPr>
          <w:rFonts w:ascii="Times New Roman" w:hAnsi="Times New Roman"/>
          <w:kern w:val="2"/>
          <w:sz w:val="28"/>
          <w:szCs w:val="28"/>
        </w:rPr>
        <w:t>«</w:t>
      </w:r>
      <w:r w:rsidRPr="00294153">
        <w:rPr>
          <w:rFonts w:ascii="Times New Roman" w:hAnsi="Times New Roman"/>
          <w:kern w:val="2"/>
          <w:sz w:val="28"/>
          <w:szCs w:val="28"/>
        </w:rPr>
        <w:t>Производительность труда</w:t>
      </w:r>
      <w:r w:rsidR="00B01627" w:rsidRPr="00294153">
        <w:rPr>
          <w:rFonts w:ascii="Times New Roman" w:hAnsi="Times New Roman"/>
          <w:kern w:val="2"/>
          <w:sz w:val="28"/>
          <w:szCs w:val="28"/>
        </w:rPr>
        <w:t>»</w:t>
      </w:r>
      <w:r w:rsidRPr="00294153">
        <w:rPr>
          <w:rFonts w:ascii="Times New Roman" w:hAnsi="Times New Roman"/>
          <w:kern w:val="2"/>
          <w:sz w:val="28"/>
          <w:szCs w:val="28"/>
        </w:rPr>
        <w:t xml:space="preserve"> (далее – Проект): </w:t>
      </w:r>
    </w:p>
    <w:p w14:paraId="6C1C3A8D" w14:textId="77777777" w:rsidR="00752D81" w:rsidRPr="00294153" w:rsidRDefault="00752D81" w:rsidP="00752D81">
      <w:pPr>
        <w:tabs>
          <w:tab w:val="left" w:pos="567"/>
        </w:tabs>
        <w:spacing w:after="0" w:line="360" w:lineRule="auto"/>
        <w:jc w:val="both"/>
        <w:rPr>
          <w:rFonts w:ascii="Times New Roman" w:hAnsi="Times New Roman"/>
          <w:kern w:val="2"/>
          <w:sz w:val="28"/>
          <w:szCs w:val="28"/>
        </w:rPr>
      </w:pPr>
      <w:r w:rsidRPr="00294153">
        <w:rPr>
          <w:rFonts w:ascii="Times New Roman" w:hAnsi="Times New Roman"/>
          <w:kern w:val="2"/>
          <w:sz w:val="28"/>
          <w:szCs w:val="28"/>
        </w:rPr>
        <w:tab/>
        <w:t xml:space="preserve">1.1. Привлечено к участию в Проекте 1 предприятие автономного округа – ООО </w:t>
      </w:r>
      <w:r w:rsidR="00B01627" w:rsidRPr="00294153">
        <w:rPr>
          <w:rFonts w:ascii="Times New Roman" w:hAnsi="Times New Roman"/>
          <w:kern w:val="2"/>
          <w:sz w:val="28"/>
          <w:szCs w:val="28"/>
        </w:rPr>
        <w:t>«</w:t>
      </w:r>
      <w:r w:rsidRPr="00294153">
        <w:rPr>
          <w:rFonts w:ascii="Times New Roman" w:hAnsi="Times New Roman"/>
          <w:kern w:val="2"/>
          <w:sz w:val="28"/>
          <w:szCs w:val="28"/>
        </w:rPr>
        <w:t xml:space="preserve">ТД </w:t>
      </w:r>
      <w:r w:rsidR="00B01627" w:rsidRPr="00294153">
        <w:rPr>
          <w:rFonts w:ascii="Times New Roman" w:hAnsi="Times New Roman"/>
          <w:kern w:val="2"/>
          <w:sz w:val="28"/>
          <w:szCs w:val="28"/>
        </w:rPr>
        <w:t>«</w:t>
      </w:r>
      <w:r w:rsidRPr="00294153">
        <w:rPr>
          <w:rFonts w:ascii="Times New Roman" w:hAnsi="Times New Roman"/>
          <w:kern w:val="2"/>
          <w:sz w:val="28"/>
          <w:szCs w:val="28"/>
        </w:rPr>
        <w:t>ЭконоТех</w:t>
      </w:r>
      <w:r w:rsidR="00B01627" w:rsidRPr="00294153">
        <w:rPr>
          <w:rFonts w:ascii="Times New Roman" w:hAnsi="Times New Roman"/>
          <w:kern w:val="2"/>
          <w:sz w:val="28"/>
          <w:szCs w:val="28"/>
        </w:rPr>
        <w:t>»</w:t>
      </w:r>
      <w:r w:rsidRPr="00294153">
        <w:rPr>
          <w:rFonts w:ascii="Times New Roman" w:hAnsi="Times New Roman"/>
          <w:kern w:val="2"/>
          <w:sz w:val="28"/>
          <w:szCs w:val="28"/>
        </w:rPr>
        <w:t xml:space="preserve">, г. Нижневартовск (Соглашение № 219 от 23.08.2024).  </w:t>
      </w:r>
    </w:p>
    <w:p w14:paraId="11FF302B" w14:textId="77777777" w:rsidR="00752D81" w:rsidRPr="00294153" w:rsidRDefault="005B6F0E" w:rsidP="00752D81">
      <w:pPr>
        <w:tabs>
          <w:tab w:val="left" w:pos="567"/>
        </w:tabs>
        <w:spacing w:after="0" w:line="360" w:lineRule="auto"/>
        <w:jc w:val="both"/>
        <w:rPr>
          <w:rFonts w:ascii="Times New Roman" w:hAnsi="Times New Roman"/>
          <w:i/>
          <w:iCs/>
          <w:kern w:val="2"/>
          <w:sz w:val="24"/>
          <w:szCs w:val="24"/>
        </w:rPr>
      </w:pPr>
      <w:r w:rsidRPr="00294153">
        <w:rPr>
          <w:rFonts w:ascii="Times New Roman" w:hAnsi="Times New Roman"/>
          <w:i/>
          <w:iCs/>
          <w:kern w:val="2"/>
          <w:sz w:val="24"/>
          <w:szCs w:val="24"/>
        </w:rPr>
        <w:tab/>
      </w:r>
      <w:r w:rsidR="00752D81" w:rsidRPr="00294153">
        <w:rPr>
          <w:rFonts w:ascii="Times New Roman" w:hAnsi="Times New Roman"/>
          <w:i/>
          <w:iCs/>
          <w:kern w:val="2"/>
          <w:sz w:val="24"/>
          <w:szCs w:val="24"/>
        </w:rPr>
        <w:t>Справочно: с начала реализации Проекта привлечено к участию в Проекте 59 предприятий автономного округа (из них с реализацией проекта в 2024 году 14 предприятий).</w:t>
      </w:r>
    </w:p>
    <w:p w14:paraId="05E7A3F0" w14:textId="77777777" w:rsidR="00752D81" w:rsidRPr="00294153" w:rsidRDefault="00752D81" w:rsidP="00752D81">
      <w:pPr>
        <w:tabs>
          <w:tab w:val="left" w:pos="567"/>
        </w:tabs>
        <w:spacing w:after="0" w:line="360" w:lineRule="auto"/>
        <w:jc w:val="both"/>
        <w:rPr>
          <w:rFonts w:ascii="Times New Roman" w:hAnsi="Times New Roman"/>
          <w:kern w:val="2"/>
          <w:sz w:val="28"/>
          <w:szCs w:val="28"/>
        </w:rPr>
      </w:pPr>
      <w:r w:rsidRPr="00294153">
        <w:rPr>
          <w:rFonts w:ascii="Times New Roman" w:hAnsi="Times New Roman"/>
          <w:kern w:val="2"/>
          <w:sz w:val="28"/>
          <w:szCs w:val="28"/>
        </w:rPr>
        <w:tab/>
        <w:t>1.2.</w:t>
      </w:r>
      <w:r w:rsidRPr="00294153">
        <w:rPr>
          <w:rFonts w:ascii="Times New Roman" w:hAnsi="Times New Roman"/>
          <w:kern w:val="2"/>
          <w:sz w:val="28"/>
          <w:szCs w:val="28"/>
        </w:rPr>
        <w:tab/>
        <w:t>Обучено инструментам повышения производительности труда 18 сотрудников предприятий</w:t>
      </w:r>
      <w:r w:rsidR="002F7B3E" w:rsidRPr="00294153">
        <w:rPr>
          <w:rFonts w:ascii="Times New Roman" w:hAnsi="Times New Roman"/>
          <w:kern w:val="2"/>
          <w:sz w:val="28"/>
          <w:szCs w:val="28"/>
        </w:rPr>
        <w:t xml:space="preserve"> – </w:t>
      </w:r>
      <w:r w:rsidRPr="00294153">
        <w:rPr>
          <w:rFonts w:ascii="Times New Roman" w:hAnsi="Times New Roman"/>
          <w:kern w:val="2"/>
          <w:sz w:val="28"/>
          <w:szCs w:val="28"/>
        </w:rPr>
        <w:t>участников Проекта сотрудниками РЦК.</w:t>
      </w:r>
    </w:p>
    <w:p w14:paraId="2288D826" w14:textId="77777777" w:rsidR="00752D81" w:rsidRPr="00294153" w:rsidRDefault="00752D81" w:rsidP="00752D81">
      <w:pPr>
        <w:tabs>
          <w:tab w:val="left" w:pos="993"/>
        </w:tabs>
        <w:spacing w:after="0" w:line="360" w:lineRule="auto"/>
        <w:jc w:val="both"/>
        <w:rPr>
          <w:rFonts w:ascii="Times New Roman" w:hAnsi="Times New Roman"/>
          <w:i/>
          <w:iCs/>
          <w:kern w:val="2"/>
          <w:sz w:val="24"/>
          <w:szCs w:val="24"/>
        </w:rPr>
      </w:pPr>
      <w:r w:rsidRPr="00294153">
        <w:rPr>
          <w:rFonts w:ascii="Times New Roman" w:hAnsi="Times New Roman"/>
          <w:kern w:val="2"/>
          <w:sz w:val="28"/>
          <w:szCs w:val="28"/>
        </w:rPr>
        <w:tab/>
      </w:r>
      <w:r w:rsidRPr="00294153">
        <w:rPr>
          <w:rFonts w:ascii="Times New Roman" w:hAnsi="Times New Roman"/>
          <w:i/>
          <w:iCs/>
          <w:kern w:val="2"/>
          <w:sz w:val="24"/>
          <w:szCs w:val="24"/>
        </w:rPr>
        <w:t>Справочно: с начала реализации Проекта обучено 439 сотрудников (из них с начала 2024 года – 170 человек).</w:t>
      </w:r>
    </w:p>
    <w:p w14:paraId="76D8F8DA" w14:textId="77777777" w:rsidR="00752D81" w:rsidRPr="00294153" w:rsidRDefault="00752D81" w:rsidP="00752D81">
      <w:pPr>
        <w:tabs>
          <w:tab w:val="left" w:pos="567"/>
        </w:tabs>
        <w:spacing w:after="0" w:line="360" w:lineRule="auto"/>
        <w:jc w:val="both"/>
        <w:rPr>
          <w:rFonts w:ascii="Times New Roman" w:hAnsi="Times New Roman"/>
          <w:kern w:val="2"/>
          <w:sz w:val="28"/>
          <w:szCs w:val="28"/>
        </w:rPr>
      </w:pPr>
      <w:r w:rsidRPr="00294153">
        <w:rPr>
          <w:rFonts w:ascii="Times New Roman" w:hAnsi="Times New Roman"/>
          <w:kern w:val="2"/>
          <w:sz w:val="28"/>
          <w:szCs w:val="28"/>
        </w:rPr>
        <w:tab/>
        <w:t>1.3.</w:t>
      </w:r>
      <w:r w:rsidRPr="00294153">
        <w:rPr>
          <w:rFonts w:ascii="Times New Roman" w:hAnsi="Times New Roman"/>
          <w:kern w:val="2"/>
          <w:sz w:val="28"/>
          <w:szCs w:val="28"/>
        </w:rPr>
        <w:tab/>
        <w:t>Подготовлены и сертифицированы 31 инструктор по бережливому производству из числа сотрудников предприятий-участников Проекта.</w:t>
      </w:r>
    </w:p>
    <w:p w14:paraId="7CCFB53C" w14:textId="77777777" w:rsidR="00752D81" w:rsidRPr="00294153" w:rsidRDefault="00752D81" w:rsidP="00752D81">
      <w:pPr>
        <w:tabs>
          <w:tab w:val="left" w:pos="567"/>
        </w:tabs>
        <w:spacing w:after="0" w:line="360" w:lineRule="auto"/>
        <w:jc w:val="both"/>
        <w:rPr>
          <w:rFonts w:ascii="Times New Roman" w:hAnsi="Times New Roman"/>
          <w:i/>
          <w:iCs/>
          <w:kern w:val="2"/>
          <w:sz w:val="24"/>
          <w:szCs w:val="24"/>
        </w:rPr>
      </w:pPr>
      <w:r w:rsidRPr="00294153">
        <w:rPr>
          <w:rFonts w:ascii="Times New Roman" w:hAnsi="Times New Roman"/>
          <w:i/>
          <w:iCs/>
          <w:kern w:val="2"/>
          <w:sz w:val="24"/>
          <w:szCs w:val="24"/>
        </w:rPr>
        <w:lastRenderedPageBreak/>
        <w:tab/>
        <w:t xml:space="preserve">Справочно: с начала реализации Проекта – 85 человек.  </w:t>
      </w:r>
    </w:p>
    <w:p w14:paraId="4768AA52" w14:textId="77777777" w:rsidR="00752D81" w:rsidRPr="00294153" w:rsidRDefault="00752D81" w:rsidP="00752D81">
      <w:pPr>
        <w:pStyle w:val="a3"/>
        <w:numPr>
          <w:ilvl w:val="1"/>
          <w:numId w:val="13"/>
        </w:numPr>
        <w:tabs>
          <w:tab w:val="left" w:pos="567"/>
        </w:tabs>
        <w:spacing w:after="0" w:line="360" w:lineRule="auto"/>
        <w:ind w:left="0" w:firstLine="567"/>
        <w:jc w:val="both"/>
        <w:rPr>
          <w:rFonts w:ascii="Times New Roman" w:hAnsi="Times New Roman"/>
          <w:kern w:val="2"/>
          <w:sz w:val="28"/>
          <w:szCs w:val="28"/>
        </w:rPr>
      </w:pPr>
      <w:r w:rsidRPr="00294153">
        <w:rPr>
          <w:rFonts w:ascii="Times New Roman" w:hAnsi="Times New Roman"/>
          <w:kern w:val="2"/>
          <w:sz w:val="28"/>
          <w:szCs w:val="28"/>
        </w:rPr>
        <w:t>Проведен конкурс лучших практик наставничества среди предприятий-участников национального проекта.</w:t>
      </w:r>
    </w:p>
    <w:p w14:paraId="155AD872" w14:textId="77777777" w:rsidR="00752D81" w:rsidRPr="00294153" w:rsidRDefault="00752D81" w:rsidP="00752D81">
      <w:pPr>
        <w:spacing w:line="360" w:lineRule="auto"/>
        <w:ind w:firstLine="568"/>
        <w:contextualSpacing/>
        <w:jc w:val="both"/>
        <w:rPr>
          <w:rFonts w:ascii="Times New Roman" w:hAnsi="Times New Roman"/>
          <w:sz w:val="28"/>
          <w:szCs w:val="28"/>
        </w:rPr>
      </w:pPr>
      <w:r w:rsidRPr="00294153">
        <w:rPr>
          <w:rFonts w:ascii="Times New Roman" w:hAnsi="Times New Roman"/>
          <w:sz w:val="28"/>
          <w:szCs w:val="28"/>
        </w:rPr>
        <w:t xml:space="preserve">Итоги регионального этапа конкурса </w:t>
      </w:r>
      <w:r w:rsidR="00B01627" w:rsidRPr="00294153">
        <w:rPr>
          <w:rFonts w:ascii="Times New Roman" w:hAnsi="Times New Roman"/>
          <w:sz w:val="28"/>
          <w:szCs w:val="28"/>
        </w:rPr>
        <w:t>«</w:t>
      </w:r>
      <w:r w:rsidRPr="00294153">
        <w:rPr>
          <w:rFonts w:ascii="Times New Roman" w:hAnsi="Times New Roman"/>
          <w:sz w:val="28"/>
          <w:szCs w:val="28"/>
        </w:rPr>
        <w:t>Лучшие практики наставничества Ханты-Мансийского автономного округа – Югры – 2024</w:t>
      </w:r>
      <w:r w:rsidR="00B01627" w:rsidRPr="00294153">
        <w:rPr>
          <w:rFonts w:ascii="Times New Roman" w:hAnsi="Times New Roman"/>
          <w:sz w:val="28"/>
          <w:szCs w:val="28"/>
        </w:rPr>
        <w:t>»</w:t>
      </w:r>
      <w:r w:rsidRPr="00294153">
        <w:rPr>
          <w:rFonts w:ascii="Times New Roman" w:hAnsi="Times New Roman"/>
          <w:sz w:val="28"/>
          <w:szCs w:val="28"/>
        </w:rPr>
        <w:t xml:space="preserve"> подведены 19 июля 2024 года. В конкурсе приняли участие 9 предприятий и организаций автономного округа. По итогам выступлений финалистов экспертным составом определены победители и призеры конкурса.</w:t>
      </w:r>
    </w:p>
    <w:p w14:paraId="592E39EC" w14:textId="77777777" w:rsidR="00752D81" w:rsidRPr="00294153" w:rsidRDefault="00752D81" w:rsidP="00294153">
      <w:pPr>
        <w:spacing w:after="0" w:line="360" w:lineRule="auto"/>
        <w:ind w:firstLine="708"/>
        <w:contextualSpacing/>
        <w:jc w:val="both"/>
        <w:rPr>
          <w:rFonts w:ascii="Times New Roman" w:hAnsi="Times New Roman"/>
          <w:sz w:val="28"/>
          <w:szCs w:val="28"/>
        </w:rPr>
      </w:pPr>
      <w:r w:rsidRPr="00294153">
        <w:rPr>
          <w:rFonts w:ascii="Times New Roman" w:hAnsi="Times New Roman"/>
          <w:sz w:val="28"/>
          <w:szCs w:val="28"/>
        </w:rPr>
        <w:t xml:space="preserve">В номинации </w:t>
      </w:r>
      <w:r w:rsidR="00B01627" w:rsidRPr="00294153">
        <w:rPr>
          <w:rFonts w:ascii="Times New Roman" w:hAnsi="Times New Roman"/>
          <w:sz w:val="28"/>
          <w:szCs w:val="28"/>
        </w:rPr>
        <w:t>«</w:t>
      </w:r>
      <w:r w:rsidRPr="00294153">
        <w:rPr>
          <w:rFonts w:ascii="Times New Roman" w:hAnsi="Times New Roman"/>
          <w:sz w:val="28"/>
          <w:szCs w:val="28"/>
        </w:rPr>
        <w:t>Прорывные технологии повышения производительности труда</w:t>
      </w:r>
      <w:r w:rsidR="00B01627" w:rsidRPr="00294153">
        <w:rPr>
          <w:rFonts w:ascii="Times New Roman" w:hAnsi="Times New Roman"/>
          <w:sz w:val="28"/>
          <w:szCs w:val="28"/>
        </w:rPr>
        <w:t>»</w:t>
      </w:r>
      <w:r w:rsidRPr="00294153">
        <w:rPr>
          <w:rFonts w:ascii="Times New Roman" w:hAnsi="Times New Roman"/>
          <w:sz w:val="28"/>
          <w:szCs w:val="28"/>
        </w:rPr>
        <w:t xml:space="preserve"> диплом победителя I степени получил ООО </w:t>
      </w:r>
      <w:r w:rsidR="00B01627" w:rsidRPr="00294153">
        <w:rPr>
          <w:rFonts w:ascii="Times New Roman" w:hAnsi="Times New Roman"/>
          <w:sz w:val="28"/>
          <w:szCs w:val="28"/>
        </w:rPr>
        <w:t>«</w:t>
      </w:r>
      <w:r w:rsidRPr="00294153">
        <w:rPr>
          <w:rFonts w:ascii="Times New Roman" w:hAnsi="Times New Roman"/>
          <w:sz w:val="28"/>
          <w:szCs w:val="28"/>
        </w:rPr>
        <w:t>Талспецстрой</w:t>
      </w:r>
      <w:r w:rsidR="00B01627" w:rsidRPr="00294153">
        <w:rPr>
          <w:rFonts w:ascii="Times New Roman" w:hAnsi="Times New Roman"/>
          <w:sz w:val="28"/>
          <w:szCs w:val="28"/>
        </w:rPr>
        <w:t>»</w:t>
      </w:r>
      <w:r w:rsidRPr="00294153">
        <w:rPr>
          <w:rFonts w:ascii="Times New Roman" w:hAnsi="Times New Roman"/>
          <w:sz w:val="28"/>
          <w:szCs w:val="28"/>
        </w:rPr>
        <w:t xml:space="preserve"> за серию обучающих видео для контролеров-механиков по выпуску самосвальной техники на линии. Благодаря проекту компании сократила время выпуска одной единицы на линию с 10 минут до 2.</w:t>
      </w:r>
    </w:p>
    <w:p w14:paraId="5D70E887" w14:textId="77777777" w:rsidR="00752D81" w:rsidRPr="00294153" w:rsidRDefault="00752D81" w:rsidP="00294153">
      <w:pPr>
        <w:spacing w:after="0" w:line="360" w:lineRule="auto"/>
        <w:ind w:firstLine="567"/>
        <w:contextualSpacing/>
        <w:jc w:val="both"/>
        <w:rPr>
          <w:rFonts w:ascii="Times New Roman" w:hAnsi="Times New Roman"/>
          <w:sz w:val="28"/>
          <w:szCs w:val="28"/>
        </w:rPr>
      </w:pPr>
      <w:r w:rsidRPr="00294153">
        <w:rPr>
          <w:rFonts w:ascii="Times New Roman" w:hAnsi="Times New Roman"/>
          <w:sz w:val="28"/>
          <w:szCs w:val="28"/>
        </w:rPr>
        <w:t xml:space="preserve">В номинации </w:t>
      </w:r>
      <w:r w:rsidR="00B01627" w:rsidRPr="00294153">
        <w:rPr>
          <w:rFonts w:ascii="Times New Roman" w:hAnsi="Times New Roman"/>
          <w:sz w:val="28"/>
          <w:szCs w:val="28"/>
        </w:rPr>
        <w:t>«</w:t>
      </w:r>
      <w:r w:rsidRPr="00294153">
        <w:rPr>
          <w:rFonts w:ascii="Times New Roman" w:hAnsi="Times New Roman"/>
          <w:sz w:val="28"/>
          <w:szCs w:val="28"/>
        </w:rPr>
        <w:t>Профессиональное развитие молодежи</w:t>
      </w:r>
      <w:r w:rsidR="00B01627" w:rsidRPr="00294153">
        <w:rPr>
          <w:rFonts w:ascii="Times New Roman" w:hAnsi="Times New Roman"/>
          <w:sz w:val="28"/>
          <w:szCs w:val="28"/>
        </w:rPr>
        <w:t>»</w:t>
      </w:r>
      <w:r w:rsidRPr="00294153">
        <w:rPr>
          <w:rFonts w:ascii="Times New Roman" w:hAnsi="Times New Roman"/>
          <w:sz w:val="28"/>
          <w:szCs w:val="28"/>
        </w:rPr>
        <w:t xml:space="preserve"> победителем стал ООО </w:t>
      </w:r>
      <w:r w:rsidR="00B01627" w:rsidRPr="00294153">
        <w:rPr>
          <w:rFonts w:ascii="Times New Roman" w:hAnsi="Times New Roman"/>
          <w:sz w:val="28"/>
          <w:szCs w:val="28"/>
        </w:rPr>
        <w:t>«</w:t>
      </w:r>
      <w:r w:rsidRPr="00294153">
        <w:rPr>
          <w:rFonts w:ascii="Times New Roman" w:hAnsi="Times New Roman"/>
          <w:sz w:val="28"/>
          <w:szCs w:val="28"/>
        </w:rPr>
        <w:t>СИНТЭК</w:t>
      </w:r>
      <w:r w:rsidR="00B01627" w:rsidRPr="00294153">
        <w:rPr>
          <w:rFonts w:ascii="Times New Roman" w:hAnsi="Times New Roman"/>
          <w:sz w:val="28"/>
          <w:szCs w:val="28"/>
        </w:rPr>
        <w:t>»</w:t>
      </w:r>
      <w:r w:rsidRPr="00294153">
        <w:rPr>
          <w:rFonts w:ascii="Times New Roman" w:hAnsi="Times New Roman"/>
          <w:sz w:val="28"/>
          <w:szCs w:val="28"/>
        </w:rPr>
        <w:t>. Компания запустила проект по многофункциональной производственной практике для получения высококвалифицированного кадрового резерва среди молодежи.</w:t>
      </w:r>
    </w:p>
    <w:p w14:paraId="4F955C0F" w14:textId="77777777" w:rsidR="00752D81" w:rsidRPr="00294153" w:rsidRDefault="00752D81" w:rsidP="00294153">
      <w:pPr>
        <w:spacing w:after="0" w:line="360" w:lineRule="auto"/>
        <w:ind w:firstLine="567"/>
        <w:contextualSpacing/>
        <w:jc w:val="both"/>
        <w:rPr>
          <w:rFonts w:ascii="Times New Roman" w:hAnsi="Times New Roman"/>
          <w:sz w:val="28"/>
          <w:szCs w:val="28"/>
        </w:rPr>
      </w:pPr>
      <w:r w:rsidRPr="00294153">
        <w:rPr>
          <w:rFonts w:ascii="Times New Roman" w:hAnsi="Times New Roman"/>
          <w:sz w:val="28"/>
          <w:szCs w:val="28"/>
        </w:rPr>
        <w:t xml:space="preserve">В номинации </w:t>
      </w:r>
      <w:r w:rsidR="00B01627" w:rsidRPr="00294153">
        <w:rPr>
          <w:rFonts w:ascii="Times New Roman" w:hAnsi="Times New Roman"/>
          <w:sz w:val="28"/>
          <w:szCs w:val="28"/>
        </w:rPr>
        <w:t>«</w:t>
      </w:r>
      <w:r w:rsidRPr="00294153">
        <w:rPr>
          <w:rFonts w:ascii="Times New Roman" w:hAnsi="Times New Roman"/>
          <w:sz w:val="28"/>
          <w:szCs w:val="28"/>
        </w:rPr>
        <w:t>Лучшие практики наставничества по повышению производительности труда</w:t>
      </w:r>
      <w:r w:rsidR="00B01627" w:rsidRPr="00294153">
        <w:rPr>
          <w:rFonts w:ascii="Times New Roman" w:hAnsi="Times New Roman"/>
          <w:sz w:val="28"/>
          <w:szCs w:val="28"/>
        </w:rPr>
        <w:t>»</w:t>
      </w:r>
      <w:r w:rsidRPr="00294153">
        <w:rPr>
          <w:rFonts w:ascii="Times New Roman" w:hAnsi="Times New Roman"/>
          <w:sz w:val="28"/>
          <w:szCs w:val="28"/>
        </w:rPr>
        <w:t xml:space="preserve"> диплом I степени получило муниципальное казенное учреждение </w:t>
      </w:r>
      <w:r w:rsidR="00B01627" w:rsidRPr="00294153">
        <w:rPr>
          <w:rFonts w:ascii="Times New Roman" w:hAnsi="Times New Roman"/>
          <w:sz w:val="28"/>
          <w:szCs w:val="28"/>
        </w:rPr>
        <w:t>«</w:t>
      </w:r>
      <w:r w:rsidRPr="00294153">
        <w:rPr>
          <w:rFonts w:ascii="Times New Roman" w:hAnsi="Times New Roman"/>
          <w:sz w:val="28"/>
          <w:szCs w:val="28"/>
        </w:rPr>
        <w:t>Администрация города Когалыма</w:t>
      </w:r>
      <w:r w:rsidR="00B01627" w:rsidRPr="00294153">
        <w:rPr>
          <w:rFonts w:ascii="Times New Roman" w:hAnsi="Times New Roman"/>
          <w:sz w:val="28"/>
          <w:szCs w:val="28"/>
        </w:rPr>
        <w:t>»</w:t>
      </w:r>
      <w:r w:rsidRPr="00294153">
        <w:rPr>
          <w:rFonts w:ascii="Times New Roman" w:hAnsi="Times New Roman"/>
          <w:sz w:val="28"/>
          <w:szCs w:val="28"/>
        </w:rPr>
        <w:t xml:space="preserve"> с программой </w:t>
      </w:r>
      <w:r w:rsidR="00B01627" w:rsidRPr="00294153">
        <w:rPr>
          <w:rFonts w:ascii="Times New Roman" w:hAnsi="Times New Roman"/>
          <w:sz w:val="28"/>
          <w:szCs w:val="28"/>
        </w:rPr>
        <w:t>«</w:t>
      </w:r>
      <w:r w:rsidRPr="00294153">
        <w:rPr>
          <w:rFonts w:ascii="Times New Roman" w:hAnsi="Times New Roman"/>
          <w:sz w:val="28"/>
          <w:szCs w:val="28"/>
        </w:rPr>
        <w:t>Бережливое наставничество</w:t>
      </w:r>
      <w:r w:rsidR="00B01627" w:rsidRPr="00294153">
        <w:rPr>
          <w:rFonts w:ascii="Times New Roman" w:hAnsi="Times New Roman"/>
          <w:sz w:val="28"/>
          <w:szCs w:val="28"/>
        </w:rPr>
        <w:t>»</w:t>
      </w:r>
      <w:r w:rsidRPr="00294153">
        <w:rPr>
          <w:rFonts w:ascii="Times New Roman" w:hAnsi="Times New Roman"/>
          <w:sz w:val="28"/>
          <w:szCs w:val="28"/>
        </w:rPr>
        <w:t>.</w:t>
      </w:r>
    </w:p>
    <w:p w14:paraId="2FF97D33" w14:textId="77777777" w:rsidR="00752D81" w:rsidRPr="00294153" w:rsidRDefault="00752D81" w:rsidP="00294153">
      <w:pPr>
        <w:pStyle w:val="a3"/>
        <w:numPr>
          <w:ilvl w:val="1"/>
          <w:numId w:val="13"/>
        </w:numPr>
        <w:spacing w:after="0" w:line="360" w:lineRule="auto"/>
        <w:ind w:left="0" w:firstLine="567"/>
        <w:jc w:val="both"/>
        <w:rPr>
          <w:rFonts w:ascii="Times New Roman" w:hAnsi="Times New Roman"/>
          <w:sz w:val="28"/>
          <w:szCs w:val="28"/>
        </w:rPr>
      </w:pPr>
      <w:r w:rsidRPr="00294153">
        <w:rPr>
          <w:rFonts w:ascii="Times New Roman" w:hAnsi="Times New Roman"/>
          <w:sz w:val="28"/>
          <w:szCs w:val="28"/>
        </w:rPr>
        <w:t>Обучено на фабрике процессов 41 сотрудник предприятий-участников Проекта.</w:t>
      </w:r>
    </w:p>
    <w:p w14:paraId="1144C786" w14:textId="77777777" w:rsidR="00752D81" w:rsidRPr="00294153" w:rsidRDefault="00752D81" w:rsidP="00294153">
      <w:pPr>
        <w:spacing w:after="0" w:line="360" w:lineRule="auto"/>
        <w:contextualSpacing/>
        <w:jc w:val="both"/>
        <w:rPr>
          <w:rFonts w:ascii="Times New Roman" w:hAnsi="Times New Roman"/>
          <w:i/>
          <w:iCs/>
          <w:sz w:val="24"/>
          <w:szCs w:val="24"/>
        </w:rPr>
      </w:pPr>
      <w:r w:rsidRPr="00294153">
        <w:rPr>
          <w:rFonts w:ascii="Times New Roman" w:hAnsi="Times New Roman"/>
          <w:i/>
          <w:iCs/>
          <w:sz w:val="24"/>
          <w:szCs w:val="24"/>
        </w:rPr>
        <w:t xml:space="preserve">Справочно: с начала 2024 года обучено 118 человек.  </w:t>
      </w:r>
    </w:p>
    <w:p w14:paraId="16A729C9" w14:textId="77777777" w:rsidR="00752D81" w:rsidRPr="00294153" w:rsidRDefault="00752D81" w:rsidP="00294153">
      <w:pPr>
        <w:pStyle w:val="a3"/>
        <w:numPr>
          <w:ilvl w:val="1"/>
          <w:numId w:val="13"/>
        </w:numPr>
        <w:spacing w:after="0" w:line="360" w:lineRule="auto"/>
        <w:ind w:left="0" w:firstLine="709"/>
        <w:jc w:val="both"/>
        <w:rPr>
          <w:rFonts w:ascii="Times New Roman" w:hAnsi="Times New Roman"/>
          <w:sz w:val="28"/>
          <w:szCs w:val="28"/>
        </w:rPr>
      </w:pPr>
      <w:r w:rsidRPr="00294153">
        <w:rPr>
          <w:rFonts w:ascii="Times New Roman" w:hAnsi="Times New Roman"/>
          <w:sz w:val="28"/>
          <w:szCs w:val="28"/>
        </w:rPr>
        <w:t>Реализованы проекты производительности труда на 17 предприятиях-участниках Проекта.</w:t>
      </w:r>
    </w:p>
    <w:p w14:paraId="25FAD026" w14:textId="77777777" w:rsidR="00752D81" w:rsidRPr="00294153" w:rsidRDefault="00752D81" w:rsidP="00294153">
      <w:pPr>
        <w:spacing w:after="0" w:line="360" w:lineRule="auto"/>
        <w:ind w:firstLine="708"/>
        <w:contextualSpacing/>
        <w:jc w:val="both"/>
        <w:rPr>
          <w:rFonts w:ascii="Times New Roman" w:hAnsi="Times New Roman"/>
          <w:i/>
          <w:iCs/>
          <w:sz w:val="24"/>
          <w:szCs w:val="24"/>
        </w:rPr>
      </w:pPr>
      <w:r w:rsidRPr="00294153">
        <w:rPr>
          <w:rFonts w:ascii="Times New Roman" w:hAnsi="Times New Roman"/>
          <w:i/>
          <w:iCs/>
          <w:sz w:val="24"/>
          <w:szCs w:val="24"/>
        </w:rPr>
        <w:t>Справочно:</w:t>
      </w:r>
      <w:r w:rsidR="005B6F0E" w:rsidRPr="00294153">
        <w:rPr>
          <w:rFonts w:ascii="Times New Roman" w:hAnsi="Times New Roman"/>
          <w:i/>
          <w:iCs/>
          <w:sz w:val="24"/>
          <w:szCs w:val="24"/>
        </w:rPr>
        <w:t xml:space="preserve"> </w:t>
      </w:r>
      <w:r w:rsidRPr="00294153">
        <w:rPr>
          <w:rFonts w:ascii="Times New Roman" w:hAnsi="Times New Roman"/>
          <w:i/>
          <w:iCs/>
          <w:sz w:val="24"/>
          <w:szCs w:val="24"/>
        </w:rPr>
        <w:t xml:space="preserve">с начала Проекта (2021 – 2024 гг) – на 59 предприятиях-участниках (под региональным управлением (с РЦК) на 40 предприятиях). </w:t>
      </w:r>
    </w:p>
    <w:p w14:paraId="22100A43" w14:textId="77777777" w:rsidR="00752D81" w:rsidRPr="00294153" w:rsidRDefault="00752D81" w:rsidP="00294153">
      <w:pPr>
        <w:pStyle w:val="a3"/>
        <w:spacing w:after="0" w:line="360" w:lineRule="auto"/>
        <w:ind w:left="0" w:firstLine="708"/>
        <w:jc w:val="both"/>
        <w:rPr>
          <w:rFonts w:ascii="Times New Roman" w:hAnsi="Times New Roman"/>
          <w:sz w:val="28"/>
          <w:szCs w:val="28"/>
        </w:rPr>
      </w:pPr>
      <w:r w:rsidRPr="00294153">
        <w:rPr>
          <w:rFonts w:ascii="Times New Roman" w:hAnsi="Times New Roman"/>
          <w:sz w:val="28"/>
          <w:szCs w:val="28"/>
        </w:rPr>
        <w:t>Предприятиями-участниками в 2024 г. достигнуты следующие результаты:</w:t>
      </w:r>
    </w:p>
    <w:tbl>
      <w:tblPr>
        <w:tblW w:w="953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977"/>
        <w:gridCol w:w="2185"/>
        <w:gridCol w:w="1289"/>
        <w:gridCol w:w="1693"/>
        <w:gridCol w:w="1274"/>
      </w:tblGrid>
      <w:tr w:rsidR="00752D81" w:rsidRPr="00294153" w14:paraId="4D0C1677" w14:textId="77777777" w:rsidTr="00294153">
        <w:trPr>
          <w:trHeight w:val="344"/>
        </w:trPr>
        <w:tc>
          <w:tcPr>
            <w:tcW w:w="492" w:type="dxa"/>
            <w:vMerge w:val="restart"/>
            <w:tcBorders>
              <w:top w:val="single" w:sz="4" w:space="0" w:color="auto"/>
              <w:left w:val="single" w:sz="4" w:space="0" w:color="auto"/>
              <w:bottom w:val="single" w:sz="4" w:space="0" w:color="auto"/>
              <w:right w:val="single" w:sz="4" w:space="0" w:color="auto"/>
            </w:tcBorders>
            <w:hideMark/>
          </w:tcPr>
          <w:p w14:paraId="5C66789E" w14:textId="77777777" w:rsidR="00752D81" w:rsidRPr="00294153" w:rsidRDefault="00752D81" w:rsidP="00294153">
            <w:pPr>
              <w:pStyle w:val="a3"/>
              <w:spacing w:after="0" w:line="240" w:lineRule="auto"/>
              <w:ind w:left="0"/>
              <w:jc w:val="center"/>
              <w:rPr>
                <w:rFonts w:ascii="Times New Roman" w:hAnsi="Times New Roman"/>
              </w:rPr>
            </w:pPr>
            <w:r w:rsidRPr="00294153">
              <w:rPr>
                <w:rFonts w:ascii="Times New Roman" w:hAnsi="Times New Roman"/>
              </w:rPr>
              <w:lastRenderedPageBreak/>
              <w:t>№ п/п</w:t>
            </w:r>
          </w:p>
        </w:tc>
        <w:tc>
          <w:tcPr>
            <w:tcW w:w="2860" w:type="dxa"/>
            <w:vMerge w:val="restart"/>
            <w:tcBorders>
              <w:top w:val="single" w:sz="4" w:space="0" w:color="auto"/>
              <w:left w:val="single" w:sz="4" w:space="0" w:color="auto"/>
              <w:bottom w:val="single" w:sz="4" w:space="0" w:color="auto"/>
              <w:right w:val="single" w:sz="4" w:space="0" w:color="auto"/>
            </w:tcBorders>
            <w:hideMark/>
          </w:tcPr>
          <w:p w14:paraId="622E1BCA" w14:textId="77777777" w:rsidR="00752D81" w:rsidRPr="00294153" w:rsidRDefault="00752D81" w:rsidP="00294153">
            <w:pPr>
              <w:pStyle w:val="a3"/>
              <w:spacing w:after="0" w:line="240" w:lineRule="auto"/>
              <w:ind w:left="0"/>
              <w:jc w:val="center"/>
              <w:rPr>
                <w:rFonts w:ascii="Times New Roman" w:hAnsi="Times New Roman"/>
              </w:rPr>
            </w:pPr>
            <w:r w:rsidRPr="00294153">
              <w:rPr>
                <w:rFonts w:ascii="Times New Roman" w:hAnsi="Times New Roman"/>
              </w:rPr>
              <w:t>Наименование предприятия</w:t>
            </w:r>
          </w:p>
        </w:tc>
        <w:tc>
          <w:tcPr>
            <w:tcW w:w="2099" w:type="dxa"/>
            <w:vMerge w:val="restart"/>
            <w:tcBorders>
              <w:top w:val="single" w:sz="4" w:space="0" w:color="auto"/>
              <w:left w:val="single" w:sz="4" w:space="0" w:color="auto"/>
              <w:bottom w:val="single" w:sz="4" w:space="0" w:color="auto"/>
              <w:right w:val="single" w:sz="4" w:space="0" w:color="auto"/>
            </w:tcBorders>
            <w:hideMark/>
          </w:tcPr>
          <w:p w14:paraId="1DECFEC9" w14:textId="77777777" w:rsidR="00752D81" w:rsidRPr="00294153" w:rsidRDefault="00752D81" w:rsidP="00294153">
            <w:pPr>
              <w:pStyle w:val="a3"/>
              <w:spacing w:after="0" w:line="240" w:lineRule="auto"/>
              <w:ind w:left="0"/>
              <w:jc w:val="center"/>
              <w:rPr>
                <w:rFonts w:ascii="Times New Roman" w:hAnsi="Times New Roman"/>
              </w:rPr>
            </w:pPr>
            <w:r w:rsidRPr="00294153">
              <w:rPr>
                <w:rFonts w:ascii="Times New Roman" w:hAnsi="Times New Roman"/>
              </w:rPr>
              <w:t>Наименование пилотного потока</w:t>
            </w:r>
          </w:p>
        </w:tc>
        <w:tc>
          <w:tcPr>
            <w:tcW w:w="4088" w:type="dxa"/>
            <w:gridSpan w:val="3"/>
            <w:tcBorders>
              <w:top w:val="single" w:sz="4" w:space="0" w:color="auto"/>
              <w:left w:val="single" w:sz="4" w:space="0" w:color="auto"/>
              <w:bottom w:val="single" w:sz="4" w:space="0" w:color="auto"/>
              <w:right w:val="single" w:sz="4" w:space="0" w:color="auto"/>
            </w:tcBorders>
            <w:hideMark/>
          </w:tcPr>
          <w:p w14:paraId="27F715CD" w14:textId="77777777" w:rsidR="00752D81" w:rsidRPr="00294153" w:rsidRDefault="00752D81" w:rsidP="00294153">
            <w:pPr>
              <w:pStyle w:val="a3"/>
              <w:spacing w:after="0" w:line="240" w:lineRule="auto"/>
              <w:ind w:left="0"/>
              <w:jc w:val="center"/>
              <w:rPr>
                <w:rFonts w:ascii="Times New Roman" w:hAnsi="Times New Roman"/>
              </w:rPr>
            </w:pPr>
            <w:r w:rsidRPr="00294153">
              <w:rPr>
                <w:rFonts w:ascii="Times New Roman" w:hAnsi="Times New Roman"/>
              </w:rPr>
              <w:t>Наименование показателя</w:t>
            </w:r>
          </w:p>
        </w:tc>
      </w:tr>
      <w:tr w:rsidR="005B6F0E" w:rsidRPr="00294153" w14:paraId="61BFD781" w14:textId="77777777" w:rsidTr="00294153">
        <w:trPr>
          <w:trHeight w:val="556"/>
        </w:trPr>
        <w:tc>
          <w:tcPr>
            <w:tcW w:w="492" w:type="dxa"/>
            <w:vMerge/>
            <w:tcBorders>
              <w:top w:val="single" w:sz="4" w:space="0" w:color="auto"/>
              <w:left w:val="single" w:sz="4" w:space="0" w:color="auto"/>
              <w:bottom w:val="single" w:sz="4" w:space="0" w:color="auto"/>
              <w:right w:val="single" w:sz="4" w:space="0" w:color="auto"/>
            </w:tcBorders>
            <w:vAlign w:val="center"/>
            <w:hideMark/>
          </w:tcPr>
          <w:p w14:paraId="63C6A786" w14:textId="77777777" w:rsidR="00752D81" w:rsidRPr="00294153" w:rsidRDefault="00752D81">
            <w:pPr>
              <w:spacing w:after="0"/>
              <w:rPr>
                <w:rFonts w:ascii="Times New Roman" w:hAnsi="Times New Roman"/>
              </w:rPr>
            </w:pPr>
          </w:p>
        </w:tc>
        <w:tc>
          <w:tcPr>
            <w:tcW w:w="2860" w:type="dxa"/>
            <w:vMerge/>
            <w:tcBorders>
              <w:top w:val="single" w:sz="4" w:space="0" w:color="auto"/>
              <w:left w:val="single" w:sz="4" w:space="0" w:color="auto"/>
              <w:bottom w:val="single" w:sz="4" w:space="0" w:color="auto"/>
              <w:right w:val="single" w:sz="4" w:space="0" w:color="auto"/>
            </w:tcBorders>
            <w:vAlign w:val="center"/>
            <w:hideMark/>
          </w:tcPr>
          <w:p w14:paraId="5715A6C8" w14:textId="77777777" w:rsidR="00752D81" w:rsidRPr="00294153" w:rsidRDefault="00752D81">
            <w:pPr>
              <w:spacing w:after="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AC1E18" w14:textId="77777777" w:rsidR="00752D81" w:rsidRPr="00294153" w:rsidRDefault="00752D81">
            <w:pPr>
              <w:spacing w:after="0"/>
              <w:rPr>
                <w:rFonts w:ascii="Times New Roman" w:hAnsi="Times New Roman"/>
              </w:rPr>
            </w:pPr>
          </w:p>
        </w:tc>
        <w:tc>
          <w:tcPr>
            <w:tcW w:w="1238" w:type="dxa"/>
            <w:tcBorders>
              <w:top w:val="single" w:sz="4" w:space="0" w:color="auto"/>
              <w:left w:val="single" w:sz="4" w:space="0" w:color="auto"/>
              <w:bottom w:val="single" w:sz="4" w:space="0" w:color="auto"/>
              <w:right w:val="single" w:sz="4" w:space="0" w:color="auto"/>
            </w:tcBorders>
            <w:hideMark/>
          </w:tcPr>
          <w:p w14:paraId="0A0B7DF3" w14:textId="77777777" w:rsidR="00752D81" w:rsidRPr="00294153" w:rsidRDefault="00752D81" w:rsidP="005B6F0E">
            <w:pPr>
              <w:pStyle w:val="a3"/>
              <w:spacing w:after="0" w:line="240" w:lineRule="auto"/>
              <w:ind w:left="0"/>
              <w:jc w:val="center"/>
              <w:rPr>
                <w:rFonts w:ascii="Times New Roman" w:hAnsi="Times New Roman"/>
              </w:rPr>
            </w:pPr>
            <w:r w:rsidRPr="00294153">
              <w:rPr>
                <w:rFonts w:ascii="Times New Roman" w:hAnsi="Times New Roman"/>
              </w:rPr>
              <w:t>Снижение ВПП (времени протекания процесса), %</w:t>
            </w:r>
          </w:p>
        </w:tc>
        <w:tc>
          <w:tcPr>
            <w:tcW w:w="1626" w:type="dxa"/>
            <w:tcBorders>
              <w:top w:val="single" w:sz="4" w:space="0" w:color="auto"/>
              <w:left w:val="single" w:sz="4" w:space="0" w:color="auto"/>
              <w:bottom w:val="single" w:sz="4" w:space="0" w:color="auto"/>
              <w:right w:val="single" w:sz="4" w:space="0" w:color="auto"/>
            </w:tcBorders>
            <w:hideMark/>
          </w:tcPr>
          <w:p w14:paraId="75EB973C" w14:textId="77777777" w:rsidR="00752D81" w:rsidRPr="00294153" w:rsidRDefault="00752D81" w:rsidP="005B6F0E">
            <w:pPr>
              <w:pStyle w:val="a3"/>
              <w:tabs>
                <w:tab w:val="left" w:pos="1994"/>
              </w:tabs>
              <w:spacing w:after="0" w:line="240" w:lineRule="auto"/>
              <w:ind w:left="-18" w:right="-44"/>
              <w:jc w:val="center"/>
              <w:rPr>
                <w:rFonts w:ascii="Times New Roman" w:hAnsi="Times New Roman"/>
              </w:rPr>
            </w:pPr>
            <w:r w:rsidRPr="00294153">
              <w:rPr>
                <w:rFonts w:ascii="Times New Roman" w:hAnsi="Times New Roman"/>
              </w:rPr>
              <w:t>Снижение объема НЗП (незавершенное производство), %</w:t>
            </w:r>
          </w:p>
        </w:tc>
        <w:tc>
          <w:tcPr>
            <w:tcW w:w="1223" w:type="dxa"/>
            <w:tcBorders>
              <w:top w:val="single" w:sz="4" w:space="0" w:color="auto"/>
              <w:left w:val="single" w:sz="4" w:space="0" w:color="auto"/>
              <w:bottom w:val="single" w:sz="4" w:space="0" w:color="auto"/>
              <w:right w:val="single" w:sz="4" w:space="0" w:color="auto"/>
            </w:tcBorders>
            <w:hideMark/>
          </w:tcPr>
          <w:p w14:paraId="6A15CF55" w14:textId="77777777" w:rsidR="00752D81" w:rsidRPr="00294153" w:rsidRDefault="00752D81" w:rsidP="005B6F0E">
            <w:pPr>
              <w:pStyle w:val="a3"/>
              <w:spacing w:after="0" w:line="240" w:lineRule="auto"/>
              <w:ind w:left="0"/>
              <w:jc w:val="center"/>
              <w:rPr>
                <w:rFonts w:ascii="Times New Roman" w:hAnsi="Times New Roman"/>
              </w:rPr>
            </w:pPr>
            <w:r w:rsidRPr="00294153">
              <w:rPr>
                <w:rFonts w:ascii="Times New Roman" w:hAnsi="Times New Roman"/>
              </w:rPr>
              <w:t>Рост выработки, %</w:t>
            </w:r>
          </w:p>
        </w:tc>
      </w:tr>
      <w:tr w:rsidR="005B6F0E" w:rsidRPr="00294153" w14:paraId="25990BF2"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17BB51B9"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w:t>
            </w:r>
          </w:p>
        </w:tc>
        <w:tc>
          <w:tcPr>
            <w:tcW w:w="2860" w:type="dxa"/>
            <w:tcBorders>
              <w:top w:val="single" w:sz="4" w:space="0" w:color="auto"/>
              <w:left w:val="single" w:sz="4" w:space="0" w:color="auto"/>
              <w:bottom w:val="single" w:sz="4" w:space="0" w:color="auto"/>
              <w:right w:val="single" w:sz="4" w:space="0" w:color="auto"/>
            </w:tcBorders>
            <w:hideMark/>
          </w:tcPr>
          <w:p w14:paraId="083AE23A" w14:textId="77777777" w:rsidR="005B6F0E" w:rsidRPr="00294153" w:rsidRDefault="00752D81">
            <w:pPr>
              <w:pStyle w:val="a3"/>
              <w:spacing w:after="0" w:line="240" w:lineRule="auto"/>
              <w:ind w:left="0"/>
              <w:jc w:val="both"/>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Стройиндустрия</w:t>
            </w:r>
            <w:r w:rsidR="00B01627" w:rsidRPr="00294153">
              <w:rPr>
                <w:rFonts w:ascii="Times New Roman" w:hAnsi="Times New Roman"/>
              </w:rPr>
              <w:t>»</w:t>
            </w:r>
            <w:r w:rsidRPr="00294153">
              <w:rPr>
                <w:rFonts w:ascii="Times New Roman" w:hAnsi="Times New Roman"/>
              </w:rPr>
              <w:t xml:space="preserve">,  </w:t>
            </w:r>
          </w:p>
          <w:p w14:paraId="56059180" w14:textId="77777777" w:rsidR="00752D81" w:rsidRPr="00294153" w:rsidRDefault="00752D81">
            <w:pPr>
              <w:pStyle w:val="a3"/>
              <w:spacing w:after="0" w:line="240" w:lineRule="auto"/>
              <w:ind w:left="0"/>
              <w:jc w:val="both"/>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2EABD1D0"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открытия строительного участка</w:t>
            </w:r>
          </w:p>
        </w:tc>
        <w:tc>
          <w:tcPr>
            <w:tcW w:w="1238" w:type="dxa"/>
            <w:tcBorders>
              <w:top w:val="single" w:sz="4" w:space="0" w:color="auto"/>
              <w:left w:val="single" w:sz="4" w:space="0" w:color="auto"/>
              <w:bottom w:val="single" w:sz="4" w:space="0" w:color="auto"/>
              <w:right w:val="single" w:sz="4" w:space="0" w:color="auto"/>
            </w:tcBorders>
            <w:hideMark/>
          </w:tcPr>
          <w:p w14:paraId="109CEB23"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- 14</w:t>
            </w:r>
          </w:p>
        </w:tc>
        <w:tc>
          <w:tcPr>
            <w:tcW w:w="1626" w:type="dxa"/>
            <w:tcBorders>
              <w:top w:val="single" w:sz="4" w:space="0" w:color="auto"/>
              <w:left w:val="single" w:sz="4" w:space="0" w:color="auto"/>
              <w:bottom w:val="single" w:sz="4" w:space="0" w:color="auto"/>
              <w:right w:val="single" w:sz="4" w:space="0" w:color="auto"/>
            </w:tcBorders>
            <w:hideMark/>
          </w:tcPr>
          <w:p w14:paraId="6EF557A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- 33</w:t>
            </w:r>
          </w:p>
        </w:tc>
        <w:tc>
          <w:tcPr>
            <w:tcW w:w="1223" w:type="dxa"/>
            <w:tcBorders>
              <w:top w:val="single" w:sz="4" w:space="0" w:color="auto"/>
              <w:left w:val="single" w:sz="4" w:space="0" w:color="auto"/>
              <w:bottom w:val="single" w:sz="4" w:space="0" w:color="auto"/>
              <w:right w:val="single" w:sz="4" w:space="0" w:color="auto"/>
            </w:tcBorders>
            <w:hideMark/>
          </w:tcPr>
          <w:p w14:paraId="552FCB5A"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+ 17</w:t>
            </w:r>
          </w:p>
        </w:tc>
      </w:tr>
      <w:tr w:rsidR="005B6F0E" w:rsidRPr="00294153" w14:paraId="71B21BE3"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7B6C0AFE"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2</w:t>
            </w:r>
          </w:p>
        </w:tc>
        <w:tc>
          <w:tcPr>
            <w:tcW w:w="2860" w:type="dxa"/>
            <w:tcBorders>
              <w:top w:val="single" w:sz="4" w:space="0" w:color="auto"/>
              <w:left w:val="single" w:sz="4" w:space="0" w:color="auto"/>
              <w:bottom w:val="single" w:sz="4" w:space="0" w:color="auto"/>
              <w:right w:val="single" w:sz="4" w:space="0" w:color="auto"/>
            </w:tcBorders>
            <w:hideMark/>
          </w:tcPr>
          <w:p w14:paraId="7AEEA86F" w14:textId="77777777" w:rsidR="005B6F0E" w:rsidRPr="00294153" w:rsidRDefault="00752D81">
            <w:pPr>
              <w:pStyle w:val="a3"/>
              <w:spacing w:after="0" w:line="240" w:lineRule="auto"/>
              <w:ind w:left="0"/>
              <w:jc w:val="both"/>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Комтрансавто</w:t>
            </w:r>
            <w:r w:rsidR="00B01627" w:rsidRPr="00294153">
              <w:rPr>
                <w:rFonts w:ascii="Times New Roman" w:hAnsi="Times New Roman"/>
              </w:rPr>
              <w:t>»</w:t>
            </w:r>
            <w:r w:rsidRPr="00294153">
              <w:rPr>
                <w:rFonts w:ascii="Times New Roman" w:hAnsi="Times New Roman"/>
              </w:rPr>
              <w:t xml:space="preserve">,     </w:t>
            </w:r>
          </w:p>
          <w:p w14:paraId="30C09566" w14:textId="77777777" w:rsidR="00752D81" w:rsidRPr="00294153" w:rsidRDefault="00752D81">
            <w:pPr>
              <w:pStyle w:val="a3"/>
              <w:spacing w:after="0" w:line="240" w:lineRule="auto"/>
              <w:ind w:left="0"/>
              <w:jc w:val="both"/>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67303342"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транспортировки ТКО на участке механизации в г. Сургуте</w:t>
            </w:r>
          </w:p>
        </w:tc>
        <w:tc>
          <w:tcPr>
            <w:tcW w:w="1238" w:type="dxa"/>
            <w:tcBorders>
              <w:top w:val="single" w:sz="4" w:space="0" w:color="auto"/>
              <w:left w:val="single" w:sz="4" w:space="0" w:color="auto"/>
              <w:bottom w:val="single" w:sz="4" w:space="0" w:color="auto"/>
              <w:right w:val="single" w:sz="4" w:space="0" w:color="auto"/>
            </w:tcBorders>
            <w:hideMark/>
          </w:tcPr>
          <w:p w14:paraId="3F2B5693"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- 25</w:t>
            </w:r>
          </w:p>
        </w:tc>
        <w:tc>
          <w:tcPr>
            <w:tcW w:w="1626" w:type="dxa"/>
            <w:tcBorders>
              <w:top w:val="single" w:sz="4" w:space="0" w:color="auto"/>
              <w:left w:val="single" w:sz="4" w:space="0" w:color="auto"/>
              <w:bottom w:val="single" w:sz="4" w:space="0" w:color="auto"/>
              <w:right w:val="single" w:sz="4" w:space="0" w:color="auto"/>
            </w:tcBorders>
            <w:hideMark/>
          </w:tcPr>
          <w:p w14:paraId="7CA518F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- 63</w:t>
            </w:r>
          </w:p>
        </w:tc>
        <w:tc>
          <w:tcPr>
            <w:tcW w:w="1223" w:type="dxa"/>
            <w:tcBorders>
              <w:top w:val="single" w:sz="4" w:space="0" w:color="auto"/>
              <w:left w:val="single" w:sz="4" w:space="0" w:color="auto"/>
              <w:bottom w:val="single" w:sz="4" w:space="0" w:color="auto"/>
              <w:right w:val="single" w:sz="4" w:space="0" w:color="auto"/>
            </w:tcBorders>
            <w:hideMark/>
          </w:tcPr>
          <w:p w14:paraId="64BAEA0F"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+ 45</w:t>
            </w:r>
          </w:p>
        </w:tc>
      </w:tr>
      <w:tr w:rsidR="005B6F0E" w:rsidRPr="00294153" w14:paraId="61DF0CA7"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58E4B685"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3</w:t>
            </w:r>
          </w:p>
        </w:tc>
        <w:tc>
          <w:tcPr>
            <w:tcW w:w="2860" w:type="dxa"/>
            <w:tcBorders>
              <w:top w:val="single" w:sz="4" w:space="0" w:color="auto"/>
              <w:left w:val="single" w:sz="4" w:space="0" w:color="auto"/>
              <w:bottom w:val="single" w:sz="4" w:space="0" w:color="auto"/>
              <w:right w:val="single" w:sz="4" w:space="0" w:color="auto"/>
            </w:tcBorders>
            <w:hideMark/>
          </w:tcPr>
          <w:p w14:paraId="593AEB40"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АО </w:t>
            </w:r>
            <w:r w:rsidR="00B01627" w:rsidRPr="00294153">
              <w:rPr>
                <w:rFonts w:ascii="Times New Roman" w:hAnsi="Times New Roman"/>
              </w:rPr>
              <w:t>«</w:t>
            </w:r>
            <w:r w:rsidRPr="00294153">
              <w:rPr>
                <w:rFonts w:ascii="Times New Roman" w:hAnsi="Times New Roman"/>
              </w:rPr>
              <w:t>СПОПАТ</w:t>
            </w:r>
            <w:r w:rsidR="00B01627" w:rsidRPr="00294153">
              <w:rPr>
                <w:rFonts w:ascii="Times New Roman" w:hAnsi="Times New Roman"/>
              </w:rPr>
              <w:t>»</w:t>
            </w:r>
            <w:r w:rsidRPr="00294153">
              <w:rPr>
                <w:rFonts w:ascii="Times New Roman" w:hAnsi="Times New Roman"/>
              </w:rPr>
              <w:t xml:space="preserve">,               </w:t>
            </w:r>
          </w:p>
          <w:p w14:paraId="445FD569"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2B8AEAD9"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выпуска автомобильного транспорта на линию</w:t>
            </w:r>
          </w:p>
        </w:tc>
        <w:tc>
          <w:tcPr>
            <w:tcW w:w="1238" w:type="dxa"/>
            <w:tcBorders>
              <w:top w:val="single" w:sz="4" w:space="0" w:color="auto"/>
              <w:left w:val="single" w:sz="4" w:space="0" w:color="auto"/>
              <w:bottom w:val="single" w:sz="4" w:space="0" w:color="auto"/>
              <w:right w:val="single" w:sz="4" w:space="0" w:color="auto"/>
            </w:tcBorders>
            <w:hideMark/>
          </w:tcPr>
          <w:p w14:paraId="0B60482C"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- 46</w:t>
            </w:r>
          </w:p>
        </w:tc>
        <w:tc>
          <w:tcPr>
            <w:tcW w:w="1626" w:type="dxa"/>
            <w:tcBorders>
              <w:top w:val="single" w:sz="4" w:space="0" w:color="auto"/>
              <w:left w:val="single" w:sz="4" w:space="0" w:color="auto"/>
              <w:bottom w:val="single" w:sz="4" w:space="0" w:color="auto"/>
              <w:right w:val="single" w:sz="4" w:space="0" w:color="auto"/>
            </w:tcBorders>
            <w:hideMark/>
          </w:tcPr>
          <w:p w14:paraId="07BD8273"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- 100</w:t>
            </w:r>
          </w:p>
        </w:tc>
        <w:tc>
          <w:tcPr>
            <w:tcW w:w="1223" w:type="dxa"/>
            <w:tcBorders>
              <w:top w:val="single" w:sz="4" w:space="0" w:color="auto"/>
              <w:left w:val="single" w:sz="4" w:space="0" w:color="auto"/>
              <w:bottom w:val="single" w:sz="4" w:space="0" w:color="auto"/>
              <w:right w:val="single" w:sz="4" w:space="0" w:color="auto"/>
            </w:tcBorders>
            <w:hideMark/>
          </w:tcPr>
          <w:p w14:paraId="0C422DAD"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+ 25</w:t>
            </w:r>
          </w:p>
        </w:tc>
      </w:tr>
      <w:tr w:rsidR="005B6F0E" w:rsidRPr="00294153" w14:paraId="661E3176"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44F55575"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4</w:t>
            </w:r>
          </w:p>
        </w:tc>
        <w:tc>
          <w:tcPr>
            <w:tcW w:w="2860" w:type="dxa"/>
            <w:tcBorders>
              <w:top w:val="single" w:sz="4" w:space="0" w:color="auto"/>
              <w:left w:val="single" w:sz="4" w:space="0" w:color="auto"/>
              <w:bottom w:val="single" w:sz="4" w:space="0" w:color="auto"/>
              <w:right w:val="single" w:sz="4" w:space="0" w:color="auto"/>
            </w:tcBorders>
            <w:hideMark/>
          </w:tcPr>
          <w:p w14:paraId="12DC4DD6"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СТЕК</w:t>
            </w:r>
            <w:r w:rsidR="00B01627" w:rsidRPr="00294153">
              <w:rPr>
                <w:rFonts w:ascii="Times New Roman" w:hAnsi="Times New Roman"/>
              </w:rPr>
              <w:t>»</w:t>
            </w:r>
            <w:r w:rsidRPr="00294153">
              <w:rPr>
                <w:rFonts w:ascii="Times New Roman" w:hAnsi="Times New Roman"/>
              </w:rPr>
              <w:t xml:space="preserve">,                    </w:t>
            </w:r>
          </w:p>
          <w:p w14:paraId="28A2C689"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Ханты-Мансийск</w:t>
            </w:r>
          </w:p>
        </w:tc>
        <w:tc>
          <w:tcPr>
            <w:tcW w:w="2099" w:type="dxa"/>
            <w:tcBorders>
              <w:top w:val="single" w:sz="4" w:space="0" w:color="auto"/>
              <w:left w:val="single" w:sz="4" w:space="0" w:color="auto"/>
              <w:bottom w:val="single" w:sz="4" w:space="0" w:color="auto"/>
              <w:right w:val="single" w:sz="4" w:space="0" w:color="auto"/>
            </w:tcBorders>
            <w:hideMark/>
          </w:tcPr>
          <w:p w14:paraId="07A74DAA"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Оптимизация ключевого продукта </w:t>
            </w:r>
            <w:r w:rsidR="00B01627" w:rsidRPr="00294153">
              <w:rPr>
                <w:rFonts w:ascii="Times New Roman" w:hAnsi="Times New Roman"/>
              </w:rPr>
              <w:t>«</w:t>
            </w:r>
            <w:r w:rsidRPr="00294153">
              <w:rPr>
                <w:rFonts w:ascii="Times New Roman" w:hAnsi="Times New Roman"/>
              </w:rPr>
              <w:t>Ремонт вахтового автотранспорта</w:t>
            </w:r>
            <w:r w:rsidR="00B01627" w:rsidRPr="00294153">
              <w:rPr>
                <w:rFonts w:ascii="Times New Roman" w:hAnsi="Times New Roman"/>
              </w:rPr>
              <w:t>»</w:t>
            </w:r>
          </w:p>
        </w:tc>
        <w:tc>
          <w:tcPr>
            <w:tcW w:w="1238" w:type="dxa"/>
            <w:tcBorders>
              <w:top w:val="single" w:sz="4" w:space="0" w:color="auto"/>
              <w:left w:val="single" w:sz="4" w:space="0" w:color="auto"/>
              <w:bottom w:val="single" w:sz="4" w:space="0" w:color="auto"/>
              <w:right w:val="single" w:sz="4" w:space="0" w:color="auto"/>
            </w:tcBorders>
            <w:hideMark/>
          </w:tcPr>
          <w:p w14:paraId="385B28B5"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- 21</w:t>
            </w:r>
          </w:p>
        </w:tc>
        <w:tc>
          <w:tcPr>
            <w:tcW w:w="1626" w:type="dxa"/>
            <w:tcBorders>
              <w:top w:val="single" w:sz="4" w:space="0" w:color="auto"/>
              <w:left w:val="single" w:sz="4" w:space="0" w:color="auto"/>
              <w:bottom w:val="single" w:sz="4" w:space="0" w:color="auto"/>
              <w:right w:val="single" w:sz="4" w:space="0" w:color="auto"/>
            </w:tcBorders>
            <w:hideMark/>
          </w:tcPr>
          <w:p w14:paraId="1C357934"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- 50</w:t>
            </w:r>
          </w:p>
        </w:tc>
        <w:tc>
          <w:tcPr>
            <w:tcW w:w="1223" w:type="dxa"/>
            <w:tcBorders>
              <w:top w:val="single" w:sz="4" w:space="0" w:color="auto"/>
              <w:left w:val="single" w:sz="4" w:space="0" w:color="auto"/>
              <w:bottom w:val="single" w:sz="4" w:space="0" w:color="auto"/>
              <w:right w:val="single" w:sz="4" w:space="0" w:color="auto"/>
            </w:tcBorders>
            <w:hideMark/>
          </w:tcPr>
          <w:p w14:paraId="4A778460"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+ 41</w:t>
            </w:r>
          </w:p>
        </w:tc>
      </w:tr>
      <w:tr w:rsidR="005B6F0E" w:rsidRPr="00294153" w14:paraId="2E1F5573"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2F5C6CDC"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5</w:t>
            </w:r>
          </w:p>
        </w:tc>
        <w:tc>
          <w:tcPr>
            <w:tcW w:w="2860" w:type="dxa"/>
            <w:tcBorders>
              <w:top w:val="single" w:sz="4" w:space="0" w:color="auto"/>
              <w:left w:val="single" w:sz="4" w:space="0" w:color="auto"/>
              <w:bottom w:val="single" w:sz="4" w:space="0" w:color="auto"/>
              <w:right w:val="single" w:sz="4" w:space="0" w:color="auto"/>
            </w:tcBorders>
            <w:hideMark/>
          </w:tcPr>
          <w:p w14:paraId="07C90A78"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Нефтеспецстрой</w:t>
            </w:r>
            <w:r w:rsidR="00B01627" w:rsidRPr="00294153">
              <w:rPr>
                <w:rFonts w:ascii="Times New Roman" w:hAnsi="Times New Roman"/>
              </w:rPr>
              <w:t>»</w:t>
            </w:r>
            <w:r w:rsidRPr="00294153">
              <w:rPr>
                <w:rFonts w:ascii="Times New Roman" w:hAnsi="Times New Roman"/>
              </w:rPr>
              <w:t xml:space="preserve">, </w:t>
            </w:r>
          </w:p>
          <w:p w14:paraId="46A34934"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Мегион</w:t>
            </w:r>
          </w:p>
        </w:tc>
        <w:tc>
          <w:tcPr>
            <w:tcW w:w="2099" w:type="dxa"/>
            <w:tcBorders>
              <w:top w:val="single" w:sz="4" w:space="0" w:color="auto"/>
              <w:left w:val="single" w:sz="4" w:space="0" w:color="auto"/>
              <w:bottom w:val="single" w:sz="4" w:space="0" w:color="auto"/>
              <w:right w:val="single" w:sz="4" w:space="0" w:color="auto"/>
            </w:tcBorders>
            <w:hideMark/>
          </w:tcPr>
          <w:p w14:paraId="013C1ECB"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Оптимизация ключевого продукта </w:t>
            </w:r>
            <w:r w:rsidR="00B01627" w:rsidRPr="00294153">
              <w:rPr>
                <w:rFonts w:ascii="Times New Roman" w:hAnsi="Times New Roman"/>
              </w:rPr>
              <w:t>«</w:t>
            </w:r>
            <w:r w:rsidRPr="00294153">
              <w:rPr>
                <w:rFonts w:ascii="Times New Roman" w:hAnsi="Times New Roman"/>
              </w:rPr>
              <w:t>Ремонт самосвалов</w:t>
            </w:r>
            <w:r w:rsidR="00B01627" w:rsidRPr="00294153">
              <w:rPr>
                <w:rFonts w:ascii="Times New Roman" w:hAnsi="Times New Roman"/>
              </w:rPr>
              <w:t>»</w:t>
            </w:r>
          </w:p>
        </w:tc>
        <w:tc>
          <w:tcPr>
            <w:tcW w:w="1238" w:type="dxa"/>
            <w:tcBorders>
              <w:top w:val="single" w:sz="4" w:space="0" w:color="auto"/>
              <w:left w:val="single" w:sz="4" w:space="0" w:color="auto"/>
              <w:bottom w:val="single" w:sz="4" w:space="0" w:color="auto"/>
              <w:right w:val="single" w:sz="4" w:space="0" w:color="auto"/>
            </w:tcBorders>
            <w:hideMark/>
          </w:tcPr>
          <w:p w14:paraId="7A760F7C"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xml:space="preserve">- 19 </w:t>
            </w:r>
          </w:p>
        </w:tc>
        <w:tc>
          <w:tcPr>
            <w:tcW w:w="1626" w:type="dxa"/>
            <w:tcBorders>
              <w:top w:val="single" w:sz="4" w:space="0" w:color="auto"/>
              <w:left w:val="single" w:sz="4" w:space="0" w:color="auto"/>
              <w:bottom w:val="single" w:sz="4" w:space="0" w:color="auto"/>
              <w:right w:val="single" w:sz="4" w:space="0" w:color="auto"/>
            </w:tcBorders>
            <w:hideMark/>
          </w:tcPr>
          <w:p w14:paraId="1E3CFBAA"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- 25</w:t>
            </w:r>
          </w:p>
        </w:tc>
        <w:tc>
          <w:tcPr>
            <w:tcW w:w="1223" w:type="dxa"/>
            <w:tcBorders>
              <w:top w:val="single" w:sz="4" w:space="0" w:color="auto"/>
              <w:left w:val="single" w:sz="4" w:space="0" w:color="auto"/>
              <w:bottom w:val="single" w:sz="4" w:space="0" w:color="auto"/>
              <w:right w:val="single" w:sz="4" w:space="0" w:color="auto"/>
            </w:tcBorders>
            <w:hideMark/>
          </w:tcPr>
          <w:p w14:paraId="248F7244"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+ 100</w:t>
            </w:r>
          </w:p>
        </w:tc>
      </w:tr>
      <w:tr w:rsidR="005B6F0E" w:rsidRPr="00294153" w14:paraId="47C51806"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031DDFD8"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6</w:t>
            </w:r>
          </w:p>
        </w:tc>
        <w:tc>
          <w:tcPr>
            <w:tcW w:w="2860" w:type="dxa"/>
            <w:tcBorders>
              <w:top w:val="single" w:sz="4" w:space="0" w:color="auto"/>
              <w:left w:val="single" w:sz="4" w:space="0" w:color="auto"/>
              <w:bottom w:val="single" w:sz="4" w:space="0" w:color="auto"/>
              <w:right w:val="single" w:sz="4" w:space="0" w:color="auto"/>
            </w:tcBorders>
            <w:hideMark/>
          </w:tcPr>
          <w:p w14:paraId="2C210463"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Алмаз-нефтесервис</w:t>
            </w:r>
            <w:r w:rsidR="00B01627" w:rsidRPr="00294153">
              <w:rPr>
                <w:rFonts w:ascii="Times New Roman" w:hAnsi="Times New Roman"/>
              </w:rPr>
              <w:t>»</w:t>
            </w:r>
            <w:r w:rsidRPr="00294153">
              <w:rPr>
                <w:rFonts w:ascii="Times New Roman" w:hAnsi="Times New Roman"/>
              </w:rPr>
              <w:t>,</w:t>
            </w:r>
          </w:p>
          <w:p w14:paraId="09B2162C"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г. Радужный </w:t>
            </w:r>
          </w:p>
        </w:tc>
        <w:tc>
          <w:tcPr>
            <w:tcW w:w="2099" w:type="dxa"/>
            <w:tcBorders>
              <w:top w:val="single" w:sz="4" w:space="0" w:color="auto"/>
              <w:left w:val="single" w:sz="4" w:space="0" w:color="auto"/>
              <w:bottom w:val="single" w:sz="4" w:space="0" w:color="auto"/>
              <w:right w:val="single" w:sz="4" w:space="0" w:color="auto"/>
            </w:tcBorders>
            <w:hideMark/>
          </w:tcPr>
          <w:p w14:paraId="1009560D"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Оптимизация ключевого продукта </w:t>
            </w:r>
            <w:r w:rsidR="00B01627" w:rsidRPr="00294153">
              <w:rPr>
                <w:rFonts w:ascii="Times New Roman" w:hAnsi="Times New Roman"/>
              </w:rPr>
              <w:t>«</w:t>
            </w:r>
            <w:r w:rsidRPr="00294153">
              <w:rPr>
                <w:rFonts w:ascii="Times New Roman" w:hAnsi="Times New Roman"/>
              </w:rPr>
              <w:t>Изготовление статора обмотки шихтовальной</w:t>
            </w:r>
            <w:r w:rsidR="00B01627" w:rsidRPr="00294153">
              <w:rPr>
                <w:rFonts w:ascii="Times New Roman" w:hAnsi="Times New Roman"/>
              </w:rPr>
              <w:t>»</w:t>
            </w:r>
          </w:p>
        </w:tc>
        <w:tc>
          <w:tcPr>
            <w:tcW w:w="1238" w:type="dxa"/>
            <w:tcBorders>
              <w:top w:val="single" w:sz="4" w:space="0" w:color="auto"/>
              <w:left w:val="single" w:sz="4" w:space="0" w:color="auto"/>
              <w:bottom w:val="single" w:sz="4" w:space="0" w:color="auto"/>
              <w:right w:val="single" w:sz="4" w:space="0" w:color="auto"/>
            </w:tcBorders>
            <w:hideMark/>
          </w:tcPr>
          <w:p w14:paraId="5136EFD0"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xml:space="preserve">- 39 </w:t>
            </w:r>
          </w:p>
        </w:tc>
        <w:tc>
          <w:tcPr>
            <w:tcW w:w="1626" w:type="dxa"/>
            <w:tcBorders>
              <w:top w:val="single" w:sz="4" w:space="0" w:color="auto"/>
              <w:left w:val="single" w:sz="4" w:space="0" w:color="auto"/>
              <w:bottom w:val="single" w:sz="4" w:space="0" w:color="auto"/>
              <w:right w:val="single" w:sz="4" w:space="0" w:color="auto"/>
            </w:tcBorders>
            <w:hideMark/>
          </w:tcPr>
          <w:p w14:paraId="439AD62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- 21</w:t>
            </w:r>
          </w:p>
        </w:tc>
        <w:tc>
          <w:tcPr>
            <w:tcW w:w="1223" w:type="dxa"/>
            <w:tcBorders>
              <w:top w:val="single" w:sz="4" w:space="0" w:color="auto"/>
              <w:left w:val="single" w:sz="4" w:space="0" w:color="auto"/>
              <w:bottom w:val="single" w:sz="4" w:space="0" w:color="auto"/>
              <w:right w:val="single" w:sz="4" w:space="0" w:color="auto"/>
            </w:tcBorders>
            <w:hideMark/>
          </w:tcPr>
          <w:p w14:paraId="26167CF9"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+ 100</w:t>
            </w:r>
          </w:p>
        </w:tc>
      </w:tr>
      <w:tr w:rsidR="005B6F0E" w:rsidRPr="00294153" w14:paraId="6119A6E1"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6F37878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7</w:t>
            </w:r>
          </w:p>
        </w:tc>
        <w:tc>
          <w:tcPr>
            <w:tcW w:w="2860" w:type="dxa"/>
            <w:tcBorders>
              <w:top w:val="single" w:sz="4" w:space="0" w:color="auto"/>
              <w:left w:val="single" w:sz="4" w:space="0" w:color="auto"/>
              <w:bottom w:val="single" w:sz="4" w:space="0" w:color="auto"/>
              <w:right w:val="single" w:sz="4" w:space="0" w:color="auto"/>
            </w:tcBorders>
            <w:hideMark/>
          </w:tcPr>
          <w:p w14:paraId="40572EB8"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СИНТЭК</w:t>
            </w:r>
            <w:r w:rsidR="00B01627" w:rsidRPr="00294153">
              <w:rPr>
                <w:rFonts w:ascii="Times New Roman" w:hAnsi="Times New Roman"/>
              </w:rPr>
              <w:t>»</w:t>
            </w:r>
            <w:r w:rsidRPr="00294153">
              <w:rPr>
                <w:rFonts w:ascii="Times New Roman" w:hAnsi="Times New Roman"/>
              </w:rPr>
              <w:t xml:space="preserve">,               </w:t>
            </w:r>
          </w:p>
          <w:p w14:paraId="6BA8193D"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Ханты-Мансийск</w:t>
            </w:r>
          </w:p>
        </w:tc>
        <w:tc>
          <w:tcPr>
            <w:tcW w:w="2099" w:type="dxa"/>
            <w:tcBorders>
              <w:top w:val="single" w:sz="4" w:space="0" w:color="auto"/>
              <w:left w:val="single" w:sz="4" w:space="0" w:color="auto"/>
              <w:bottom w:val="single" w:sz="4" w:space="0" w:color="auto"/>
              <w:right w:val="single" w:sz="4" w:space="0" w:color="auto"/>
            </w:tcBorders>
            <w:hideMark/>
          </w:tcPr>
          <w:p w14:paraId="2ADD358B"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Оптимизация ключевого продукта </w:t>
            </w:r>
            <w:r w:rsidR="00B01627" w:rsidRPr="00294153">
              <w:rPr>
                <w:rFonts w:ascii="Times New Roman" w:hAnsi="Times New Roman"/>
              </w:rPr>
              <w:t>«</w:t>
            </w:r>
            <w:r w:rsidRPr="00294153">
              <w:rPr>
                <w:rFonts w:ascii="Times New Roman" w:hAnsi="Times New Roman"/>
              </w:rPr>
              <w:t>Повышение выработки процесса по ремонту ключей АКБ-4</w:t>
            </w:r>
            <w:r w:rsidR="00B01627" w:rsidRPr="00294153">
              <w:rPr>
                <w:rFonts w:ascii="Times New Roman" w:hAnsi="Times New Roman"/>
              </w:rPr>
              <w:t>»</w:t>
            </w:r>
          </w:p>
        </w:tc>
        <w:tc>
          <w:tcPr>
            <w:tcW w:w="1238" w:type="dxa"/>
            <w:tcBorders>
              <w:top w:val="single" w:sz="4" w:space="0" w:color="auto"/>
              <w:left w:val="single" w:sz="4" w:space="0" w:color="auto"/>
              <w:bottom w:val="single" w:sz="4" w:space="0" w:color="auto"/>
              <w:right w:val="single" w:sz="4" w:space="0" w:color="auto"/>
            </w:tcBorders>
            <w:hideMark/>
          </w:tcPr>
          <w:p w14:paraId="035BDD0F"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- 43</w:t>
            </w:r>
          </w:p>
        </w:tc>
        <w:tc>
          <w:tcPr>
            <w:tcW w:w="1626" w:type="dxa"/>
            <w:tcBorders>
              <w:top w:val="single" w:sz="4" w:space="0" w:color="auto"/>
              <w:left w:val="single" w:sz="4" w:space="0" w:color="auto"/>
              <w:bottom w:val="single" w:sz="4" w:space="0" w:color="auto"/>
              <w:right w:val="single" w:sz="4" w:space="0" w:color="auto"/>
            </w:tcBorders>
            <w:hideMark/>
          </w:tcPr>
          <w:p w14:paraId="763C277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- 25</w:t>
            </w:r>
          </w:p>
        </w:tc>
        <w:tc>
          <w:tcPr>
            <w:tcW w:w="1223" w:type="dxa"/>
            <w:tcBorders>
              <w:top w:val="single" w:sz="4" w:space="0" w:color="auto"/>
              <w:left w:val="single" w:sz="4" w:space="0" w:color="auto"/>
              <w:bottom w:val="single" w:sz="4" w:space="0" w:color="auto"/>
              <w:right w:val="single" w:sz="4" w:space="0" w:color="auto"/>
            </w:tcBorders>
            <w:hideMark/>
          </w:tcPr>
          <w:p w14:paraId="7CC3081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+ 100</w:t>
            </w:r>
          </w:p>
        </w:tc>
      </w:tr>
      <w:tr w:rsidR="005B6F0E" w:rsidRPr="00294153" w14:paraId="2B86C221"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3023E7D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8</w:t>
            </w:r>
          </w:p>
        </w:tc>
        <w:tc>
          <w:tcPr>
            <w:tcW w:w="2860" w:type="dxa"/>
            <w:tcBorders>
              <w:top w:val="single" w:sz="4" w:space="0" w:color="auto"/>
              <w:left w:val="single" w:sz="4" w:space="0" w:color="auto"/>
              <w:bottom w:val="single" w:sz="4" w:space="0" w:color="auto"/>
              <w:right w:val="single" w:sz="4" w:space="0" w:color="auto"/>
            </w:tcBorders>
            <w:hideMark/>
          </w:tcPr>
          <w:p w14:paraId="6C813436"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СК </w:t>
            </w:r>
            <w:r w:rsidR="00B01627" w:rsidRPr="00294153">
              <w:rPr>
                <w:rFonts w:ascii="Times New Roman" w:hAnsi="Times New Roman"/>
              </w:rPr>
              <w:t>«</w:t>
            </w:r>
            <w:r w:rsidRPr="00294153">
              <w:rPr>
                <w:rFonts w:ascii="Times New Roman" w:hAnsi="Times New Roman"/>
              </w:rPr>
              <w:t>ВИТА</w:t>
            </w:r>
            <w:r w:rsidR="00B01627" w:rsidRPr="00294153">
              <w:rPr>
                <w:rFonts w:ascii="Times New Roman" w:hAnsi="Times New Roman"/>
              </w:rPr>
              <w:t>»</w:t>
            </w:r>
            <w:r w:rsidRPr="00294153">
              <w:rPr>
                <w:rFonts w:ascii="Times New Roman" w:hAnsi="Times New Roman"/>
              </w:rPr>
              <w:t xml:space="preserve">,              </w:t>
            </w:r>
          </w:p>
          <w:p w14:paraId="33BCDC0D"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Нягань</w:t>
            </w:r>
          </w:p>
        </w:tc>
        <w:tc>
          <w:tcPr>
            <w:tcW w:w="2099" w:type="dxa"/>
            <w:tcBorders>
              <w:top w:val="single" w:sz="4" w:space="0" w:color="auto"/>
              <w:left w:val="single" w:sz="4" w:space="0" w:color="auto"/>
              <w:bottom w:val="single" w:sz="4" w:space="0" w:color="auto"/>
              <w:right w:val="single" w:sz="4" w:space="0" w:color="auto"/>
            </w:tcBorders>
            <w:hideMark/>
          </w:tcPr>
          <w:p w14:paraId="6F52AFDE"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оформления приемо-сдаточной документации при проведении строительно-монтажных работ</w:t>
            </w:r>
          </w:p>
        </w:tc>
        <w:tc>
          <w:tcPr>
            <w:tcW w:w="1238" w:type="dxa"/>
            <w:tcBorders>
              <w:top w:val="single" w:sz="4" w:space="0" w:color="auto"/>
              <w:left w:val="single" w:sz="4" w:space="0" w:color="auto"/>
              <w:bottom w:val="single" w:sz="4" w:space="0" w:color="auto"/>
              <w:right w:val="single" w:sz="4" w:space="0" w:color="auto"/>
            </w:tcBorders>
            <w:hideMark/>
          </w:tcPr>
          <w:p w14:paraId="5231CCFC"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- 13</w:t>
            </w:r>
          </w:p>
          <w:p w14:paraId="5B91CAC5" w14:textId="77777777" w:rsidR="00752D81" w:rsidRPr="00294153" w:rsidRDefault="00752D81">
            <w:r w:rsidRPr="00294153">
              <w:t xml:space="preserve"> </w:t>
            </w:r>
          </w:p>
          <w:p w14:paraId="031CBEA3" w14:textId="77777777" w:rsidR="00752D81" w:rsidRPr="00294153" w:rsidRDefault="00752D81">
            <w:pPr>
              <w:tabs>
                <w:tab w:val="left" w:pos="765"/>
              </w:tabs>
            </w:pPr>
            <w:r w:rsidRPr="00294153">
              <w:tab/>
            </w:r>
          </w:p>
        </w:tc>
        <w:tc>
          <w:tcPr>
            <w:tcW w:w="1626" w:type="dxa"/>
            <w:tcBorders>
              <w:top w:val="single" w:sz="4" w:space="0" w:color="auto"/>
              <w:left w:val="single" w:sz="4" w:space="0" w:color="auto"/>
              <w:bottom w:val="single" w:sz="4" w:space="0" w:color="auto"/>
              <w:right w:val="single" w:sz="4" w:space="0" w:color="auto"/>
            </w:tcBorders>
            <w:hideMark/>
          </w:tcPr>
          <w:p w14:paraId="00CA293E"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- 15</w:t>
            </w:r>
          </w:p>
        </w:tc>
        <w:tc>
          <w:tcPr>
            <w:tcW w:w="1223" w:type="dxa"/>
            <w:tcBorders>
              <w:top w:val="single" w:sz="4" w:space="0" w:color="auto"/>
              <w:left w:val="single" w:sz="4" w:space="0" w:color="auto"/>
              <w:bottom w:val="single" w:sz="4" w:space="0" w:color="auto"/>
              <w:right w:val="single" w:sz="4" w:space="0" w:color="auto"/>
            </w:tcBorders>
            <w:hideMark/>
          </w:tcPr>
          <w:p w14:paraId="669CE193"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+ 12</w:t>
            </w:r>
          </w:p>
        </w:tc>
      </w:tr>
      <w:tr w:rsidR="005B6F0E" w:rsidRPr="00294153" w14:paraId="6CF4E508"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6BD22AC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9</w:t>
            </w:r>
          </w:p>
        </w:tc>
        <w:tc>
          <w:tcPr>
            <w:tcW w:w="2860" w:type="dxa"/>
            <w:tcBorders>
              <w:top w:val="single" w:sz="4" w:space="0" w:color="auto"/>
              <w:left w:val="single" w:sz="4" w:space="0" w:color="auto"/>
              <w:bottom w:val="single" w:sz="4" w:space="0" w:color="auto"/>
              <w:right w:val="single" w:sz="4" w:space="0" w:color="auto"/>
            </w:tcBorders>
            <w:hideMark/>
          </w:tcPr>
          <w:p w14:paraId="78BFF65F"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ПРИУРАЛСТРОЙ</w:t>
            </w:r>
            <w:r w:rsidR="00B01627" w:rsidRPr="00294153">
              <w:rPr>
                <w:rFonts w:ascii="Times New Roman" w:hAnsi="Times New Roman"/>
              </w:rPr>
              <w:t>»</w:t>
            </w:r>
            <w:r w:rsidRPr="00294153">
              <w:rPr>
                <w:rFonts w:ascii="Times New Roman" w:hAnsi="Times New Roman"/>
              </w:rPr>
              <w:t xml:space="preserve">, </w:t>
            </w:r>
          </w:p>
          <w:p w14:paraId="775B91DF"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Нягань</w:t>
            </w:r>
          </w:p>
        </w:tc>
        <w:tc>
          <w:tcPr>
            <w:tcW w:w="2099" w:type="dxa"/>
            <w:tcBorders>
              <w:top w:val="single" w:sz="4" w:space="0" w:color="auto"/>
              <w:left w:val="single" w:sz="4" w:space="0" w:color="auto"/>
              <w:bottom w:val="single" w:sz="4" w:space="0" w:color="auto"/>
              <w:right w:val="single" w:sz="4" w:space="0" w:color="auto"/>
            </w:tcBorders>
            <w:hideMark/>
          </w:tcPr>
          <w:p w14:paraId="0EF7FF7E"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логистики и складирования</w:t>
            </w:r>
          </w:p>
        </w:tc>
        <w:tc>
          <w:tcPr>
            <w:tcW w:w="1238" w:type="dxa"/>
            <w:tcBorders>
              <w:top w:val="single" w:sz="4" w:space="0" w:color="auto"/>
              <w:left w:val="single" w:sz="4" w:space="0" w:color="auto"/>
              <w:bottom w:val="single" w:sz="4" w:space="0" w:color="auto"/>
              <w:right w:val="single" w:sz="4" w:space="0" w:color="auto"/>
            </w:tcBorders>
            <w:hideMark/>
          </w:tcPr>
          <w:p w14:paraId="5B11326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- 13</w:t>
            </w:r>
          </w:p>
        </w:tc>
        <w:tc>
          <w:tcPr>
            <w:tcW w:w="1626" w:type="dxa"/>
            <w:tcBorders>
              <w:top w:val="single" w:sz="4" w:space="0" w:color="auto"/>
              <w:left w:val="single" w:sz="4" w:space="0" w:color="auto"/>
              <w:bottom w:val="single" w:sz="4" w:space="0" w:color="auto"/>
              <w:right w:val="single" w:sz="4" w:space="0" w:color="auto"/>
            </w:tcBorders>
            <w:hideMark/>
          </w:tcPr>
          <w:p w14:paraId="3DC78B0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- 12</w:t>
            </w:r>
          </w:p>
        </w:tc>
        <w:tc>
          <w:tcPr>
            <w:tcW w:w="1223" w:type="dxa"/>
            <w:tcBorders>
              <w:top w:val="single" w:sz="4" w:space="0" w:color="auto"/>
              <w:left w:val="single" w:sz="4" w:space="0" w:color="auto"/>
              <w:bottom w:val="single" w:sz="4" w:space="0" w:color="auto"/>
              <w:right w:val="single" w:sz="4" w:space="0" w:color="auto"/>
            </w:tcBorders>
            <w:hideMark/>
          </w:tcPr>
          <w:p w14:paraId="2B2CB3A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+ 15</w:t>
            </w:r>
          </w:p>
        </w:tc>
      </w:tr>
      <w:tr w:rsidR="005B6F0E" w:rsidRPr="00294153" w14:paraId="28B32E03"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0A035C2B"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10</w:t>
            </w:r>
          </w:p>
        </w:tc>
        <w:tc>
          <w:tcPr>
            <w:tcW w:w="2860" w:type="dxa"/>
            <w:tcBorders>
              <w:top w:val="single" w:sz="4" w:space="0" w:color="auto"/>
              <w:left w:val="single" w:sz="4" w:space="0" w:color="auto"/>
              <w:bottom w:val="single" w:sz="4" w:space="0" w:color="auto"/>
              <w:right w:val="single" w:sz="4" w:space="0" w:color="auto"/>
            </w:tcBorders>
            <w:hideMark/>
          </w:tcPr>
          <w:p w14:paraId="3DF3A5A1"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СургутМеталлСнаб</w:t>
            </w:r>
            <w:r w:rsidR="00B01627" w:rsidRPr="00294153">
              <w:rPr>
                <w:rFonts w:ascii="Times New Roman" w:hAnsi="Times New Roman"/>
              </w:rPr>
              <w:t>»</w:t>
            </w:r>
            <w:r w:rsidRPr="00294153">
              <w:rPr>
                <w:rFonts w:ascii="Times New Roman" w:hAnsi="Times New Roman"/>
              </w:rPr>
              <w:t xml:space="preserve">,       </w:t>
            </w:r>
          </w:p>
          <w:p w14:paraId="4725DA52"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1235448C"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Оптимизация процесса </w:t>
            </w:r>
            <w:r w:rsidRPr="00294153">
              <w:rPr>
                <w:rFonts w:ascii="Times New Roman" w:hAnsi="Times New Roman"/>
              </w:rPr>
              <w:lastRenderedPageBreak/>
              <w:t>изготовления изделий из металла</w:t>
            </w:r>
          </w:p>
        </w:tc>
        <w:tc>
          <w:tcPr>
            <w:tcW w:w="1238" w:type="dxa"/>
            <w:tcBorders>
              <w:top w:val="single" w:sz="4" w:space="0" w:color="auto"/>
              <w:left w:val="single" w:sz="4" w:space="0" w:color="auto"/>
              <w:bottom w:val="single" w:sz="4" w:space="0" w:color="auto"/>
              <w:right w:val="single" w:sz="4" w:space="0" w:color="auto"/>
            </w:tcBorders>
            <w:hideMark/>
          </w:tcPr>
          <w:p w14:paraId="209370A6"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lastRenderedPageBreak/>
              <w:t>- 77</w:t>
            </w:r>
          </w:p>
        </w:tc>
        <w:tc>
          <w:tcPr>
            <w:tcW w:w="1626" w:type="dxa"/>
            <w:tcBorders>
              <w:top w:val="single" w:sz="4" w:space="0" w:color="auto"/>
              <w:left w:val="single" w:sz="4" w:space="0" w:color="auto"/>
              <w:bottom w:val="single" w:sz="4" w:space="0" w:color="auto"/>
              <w:right w:val="single" w:sz="4" w:space="0" w:color="auto"/>
            </w:tcBorders>
            <w:hideMark/>
          </w:tcPr>
          <w:p w14:paraId="53555636"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- 82</w:t>
            </w:r>
          </w:p>
        </w:tc>
        <w:tc>
          <w:tcPr>
            <w:tcW w:w="1223" w:type="dxa"/>
            <w:tcBorders>
              <w:top w:val="single" w:sz="4" w:space="0" w:color="auto"/>
              <w:left w:val="single" w:sz="4" w:space="0" w:color="auto"/>
              <w:bottom w:val="single" w:sz="4" w:space="0" w:color="auto"/>
              <w:right w:val="single" w:sz="4" w:space="0" w:color="auto"/>
            </w:tcBorders>
            <w:hideMark/>
          </w:tcPr>
          <w:p w14:paraId="0BD94184"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+ 23</w:t>
            </w:r>
          </w:p>
        </w:tc>
      </w:tr>
      <w:tr w:rsidR="005B6F0E" w:rsidRPr="00294153" w14:paraId="2B14719A" w14:textId="77777777" w:rsidTr="00294153">
        <w:trPr>
          <w:trHeight w:val="1008"/>
        </w:trPr>
        <w:tc>
          <w:tcPr>
            <w:tcW w:w="492" w:type="dxa"/>
            <w:tcBorders>
              <w:top w:val="single" w:sz="4" w:space="0" w:color="auto"/>
              <w:left w:val="single" w:sz="4" w:space="0" w:color="auto"/>
              <w:bottom w:val="single" w:sz="4" w:space="0" w:color="auto"/>
              <w:right w:val="single" w:sz="4" w:space="0" w:color="auto"/>
            </w:tcBorders>
            <w:hideMark/>
          </w:tcPr>
          <w:p w14:paraId="7CF8E06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11</w:t>
            </w:r>
          </w:p>
        </w:tc>
        <w:tc>
          <w:tcPr>
            <w:tcW w:w="2860" w:type="dxa"/>
            <w:tcBorders>
              <w:top w:val="single" w:sz="4" w:space="0" w:color="auto"/>
              <w:left w:val="single" w:sz="4" w:space="0" w:color="auto"/>
              <w:bottom w:val="single" w:sz="4" w:space="0" w:color="auto"/>
              <w:right w:val="single" w:sz="4" w:space="0" w:color="auto"/>
            </w:tcBorders>
            <w:hideMark/>
          </w:tcPr>
          <w:p w14:paraId="72C511C0"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Импорт-Лифт</w:t>
            </w:r>
            <w:r w:rsidR="00B01627" w:rsidRPr="00294153">
              <w:rPr>
                <w:rFonts w:ascii="Times New Roman" w:hAnsi="Times New Roman"/>
              </w:rPr>
              <w:t>»</w:t>
            </w:r>
            <w:r w:rsidRPr="00294153">
              <w:rPr>
                <w:rFonts w:ascii="Times New Roman" w:hAnsi="Times New Roman"/>
              </w:rPr>
              <w:t xml:space="preserve">,       </w:t>
            </w:r>
          </w:p>
          <w:p w14:paraId="0D46E039"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7314ACB7"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строительно-монтажных работ подъемного оборудования</w:t>
            </w:r>
          </w:p>
        </w:tc>
        <w:tc>
          <w:tcPr>
            <w:tcW w:w="1238" w:type="dxa"/>
            <w:tcBorders>
              <w:top w:val="single" w:sz="4" w:space="0" w:color="auto"/>
              <w:left w:val="single" w:sz="4" w:space="0" w:color="auto"/>
              <w:bottom w:val="single" w:sz="4" w:space="0" w:color="auto"/>
              <w:right w:val="single" w:sz="4" w:space="0" w:color="auto"/>
            </w:tcBorders>
            <w:hideMark/>
          </w:tcPr>
          <w:p w14:paraId="7B32E9A7"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-13</w:t>
            </w:r>
          </w:p>
        </w:tc>
        <w:tc>
          <w:tcPr>
            <w:tcW w:w="1626" w:type="dxa"/>
            <w:tcBorders>
              <w:top w:val="single" w:sz="4" w:space="0" w:color="auto"/>
              <w:left w:val="single" w:sz="4" w:space="0" w:color="auto"/>
              <w:bottom w:val="single" w:sz="4" w:space="0" w:color="auto"/>
              <w:right w:val="single" w:sz="4" w:space="0" w:color="auto"/>
            </w:tcBorders>
            <w:hideMark/>
          </w:tcPr>
          <w:p w14:paraId="6B3AB190"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- 15</w:t>
            </w:r>
          </w:p>
        </w:tc>
        <w:tc>
          <w:tcPr>
            <w:tcW w:w="1223" w:type="dxa"/>
            <w:tcBorders>
              <w:top w:val="single" w:sz="4" w:space="0" w:color="auto"/>
              <w:left w:val="single" w:sz="4" w:space="0" w:color="auto"/>
              <w:bottom w:val="single" w:sz="4" w:space="0" w:color="auto"/>
              <w:right w:val="single" w:sz="4" w:space="0" w:color="auto"/>
            </w:tcBorders>
            <w:hideMark/>
          </w:tcPr>
          <w:p w14:paraId="45BAD1EE"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+ 105</w:t>
            </w:r>
          </w:p>
        </w:tc>
      </w:tr>
      <w:tr w:rsidR="005B6F0E" w:rsidRPr="00294153" w14:paraId="523BC34A"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4A56E820"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12</w:t>
            </w:r>
          </w:p>
        </w:tc>
        <w:tc>
          <w:tcPr>
            <w:tcW w:w="2860" w:type="dxa"/>
            <w:tcBorders>
              <w:top w:val="single" w:sz="4" w:space="0" w:color="auto"/>
              <w:left w:val="single" w:sz="4" w:space="0" w:color="auto"/>
              <w:bottom w:val="single" w:sz="4" w:space="0" w:color="auto"/>
              <w:right w:val="single" w:sz="4" w:space="0" w:color="auto"/>
            </w:tcBorders>
            <w:hideMark/>
          </w:tcPr>
          <w:p w14:paraId="031402E6"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Мейджерпак Югра</w:t>
            </w:r>
            <w:r w:rsidR="00B01627" w:rsidRPr="00294153">
              <w:rPr>
                <w:rFonts w:ascii="Times New Roman" w:hAnsi="Times New Roman"/>
              </w:rPr>
              <w:t>»</w:t>
            </w:r>
            <w:r w:rsidRPr="00294153">
              <w:rPr>
                <w:rFonts w:ascii="Times New Roman" w:hAnsi="Times New Roman"/>
              </w:rPr>
              <w:t xml:space="preserve">, </w:t>
            </w:r>
          </w:p>
          <w:p w14:paraId="31BFDAEB"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283E270B"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логистических процессов в цехе № 2</w:t>
            </w:r>
          </w:p>
        </w:tc>
        <w:tc>
          <w:tcPr>
            <w:tcW w:w="1238" w:type="dxa"/>
            <w:tcBorders>
              <w:top w:val="single" w:sz="4" w:space="0" w:color="auto"/>
              <w:left w:val="single" w:sz="4" w:space="0" w:color="auto"/>
              <w:bottom w:val="single" w:sz="4" w:space="0" w:color="auto"/>
              <w:right w:val="single" w:sz="4" w:space="0" w:color="auto"/>
            </w:tcBorders>
            <w:hideMark/>
          </w:tcPr>
          <w:p w14:paraId="736C87EA"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- 86</w:t>
            </w:r>
          </w:p>
        </w:tc>
        <w:tc>
          <w:tcPr>
            <w:tcW w:w="1626" w:type="dxa"/>
            <w:tcBorders>
              <w:top w:val="single" w:sz="4" w:space="0" w:color="auto"/>
              <w:left w:val="single" w:sz="4" w:space="0" w:color="auto"/>
              <w:bottom w:val="single" w:sz="4" w:space="0" w:color="auto"/>
              <w:right w:val="single" w:sz="4" w:space="0" w:color="auto"/>
            </w:tcBorders>
            <w:hideMark/>
          </w:tcPr>
          <w:p w14:paraId="25A721AF"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- 60</w:t>
            </w:r>
          </w:p>
        </w:tc>
        <w:tc>
          <w:tcPr>
            <w:tcW w:w="1223" w:type="dxa"/>
            <w:tcBorders>
              <w:top w:val="single" w:sz="4" w:space="0" w:color="auto"/>
              <w:left w:val="single" w:sz="4" w:space="0" w:color="auto"/>
              <w:bottom w:val="single" w:sz="4" w:space="0" w:color="auto"/>
              <w:right w:val="single" w:sz="4" w:space="0" w:color="auto"/>
            </w:tcBorders>
            <w:hideMark/>
          </w:tcPr>
          <w:p w14:paraId="17C3EBDA"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+ 100</w:t>
            </w:r>
          </w:p>
        </w:tc>
      </w:tr>
      <w:tr w:rsidR="005B6F0E" w:rsidRPr="00294153" w14:paraId="7C4220D6"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59BFD775"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13</w:t>
            </w:r>
          </w:p>
        </w:tc>
        <w:tc>
          <w:tcPr>
            <w:tcW w:w="2860" w:type="dxa"/>
            <w:tcBorders>
              <w:top w:val="single" w:sz="4" w:space="0" w:color="auto"/>
              <w:left w:val="single" w:sz="4" w:space="0" w:color="auto"/>
              <w:bottom w:val="single" w:sz="4" w:space="0" w:color="auto"/>
              <w:right w:val="single" w:sz="4" w:space="0" w:color="auto"/>
            </w:tcBorders>
            <w:hideMark/>
          </w:tcPr>
          <w:p w14:paraId="2FB97AB9"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АО </w:t>
            </w:r>
            <w:r w:rsidR="00B01627" w:rsidRPr="00294153">
              <w:rPr>
                <w:rFonts w:ascii="Times New Roman" w:hAnsi="Times New Roman"/>
              </w:rPr>
              <w:t>«</w:t>
            </w:r>
            <w:r w:rsidRPr="00294153">
              <w:rPr>
                <w:rFonts w:ascii="Times New Roman" w:hAnsi="Times New Roman"/>
              </w:rPr>
              <w:t>МОСТОСТРОЙ-11</w:t>
            </w:r>
            <w:r w:rsidR="00B01627" w:rsidRPr="00294153">
              <w:rPr>
                <w:rFonts w:ascii="Times New Roman" w:hAnsi="Times New Roman"/>
              </w:rPr>
              <w:t>»</w:t>
            </w:r>
            <w:r w:rsidRPr="00294153">
              <w:rPr>
                <w:rFonts w:ascii="Times New Roman" w:hAnsi="Times New Roman"/>
              </w:rPr>
              <w:t xml:space="preserve">, </w:t>
            </w:r>
          </w:p>
          <w:p w14:paraId="79A5CF2A"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690974CB"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сборки и сварки монтажных соединений металлоконструкций пролетного строения</w:t>
            </w:r>
          </w:p>
        </w:tc>
        <w:tc>
          <w:tcPr>
            <w:tcW w:w="1238" w:type="dxa"/>
            <w:tcBorders>
              <w:top w:val="single" w:sz="4" w:space="0" w:color="auto"/>
              <w:left w:val="single" w:sz="4" w:space="0" w:color="auto"/>
              <w:bottom w:val="single" w:sz="4" w:space="0" w:color="auto"/>
              <w:right w:val="single" w:sz="4" w:space="0" w:color="auto"/>
            </w:tcBorders>
            <w:hideMark/>
          </w:tcPr>
          <w:p w14:paraId="2AD27760"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- 10</w:t>
            </w:r>
          </w:p>
        </w:tc>
        <w:tc>
          <w:tcPr>
            <w:tcW w:w="1626" w:type="dxa"/>
            <w:tcBorders>
              <w:top w:val="single" w:sz="4" w:space="0" w:color="auto"/>
              <w:left w:val="single" w:sz="4" w:space="0" w:color="auto"/>
              <w:bottom w:val="single" w:sz="4" w:space="0" w:color="auto"/>
              <w:right w:val="single" w:sz="4" w:space="0" w:color="auto"/>
            </w:tcBorders>
            <w:hideMark/>
          </w:tcPr>
          <w:p w14:paraId="673A595E"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- 15</w:t>
            </w:r>
          </w:p>
        </w:tc>
        <w:tc>
          <w:tcPr>
            <w:tcW w:w="1223" w:type="dxa"/>
            <w:tcBorders>
              <w:top w:val="single" w:sz="4" w:space="0" w:color="auto"/>
              <w:left w:val="single" w:sz="4" w:space="0" w:color="auto"/>
              <w:bottom w:val="single" w:sz="4" w:space="0" w:color="auto"/>
              <w:right w:val="single" w:sz="4" w:space="0" w:color="auto"/>
            </w:tcBorders>
            <w:hideMark/>
          </w:tcPr>
          <w:p w14:paraId="44834D88"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+ 18</w:t>
            </w:r>
          </w:p>
        </w:tc>
      </w:tr>
      <w:tr w:rsidR="005B6F0E" w:rsidRPr="00294153" w14:paraId="79908D14"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0FF2A80F"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14</w:t>
            </w:r>
          </w:p>
        </w:tc>
        <w:tc>
          <w:tcPr>
            <w:tcW w:w="2860" w:type="dxa"/>
            <w:tcBorders>
              <w:top w:val="single" w:sz="4" w:space="0" w:color="auto"/>
              <w:left w:val="single" w:sz="4" w:space="0" w:color="auto"/>
              <w:bottom w:val="single" w:sz="4" w:space="0" w:color="auto"/>
              <w:right w:val="single" w:sz="4" w:space="0" w:color="auto"/>
            </w:tcBorders>
            <w:hideMark/>
          </w:tcPr>
          <w:p w14:paraId="6B25F3BB"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ДОРСТРОЙИНДУСТРИЯ</w:t>
            </w:r>
            <w:r w:rsidR="00B01627" w:rsidRPr="00294153">
              <w:rPr>
                <w:rFonts w:ascii="Times New Roman" w:hAnsi="Times New Roman"/>
              </w:rPr>
              <w:t>»</w:t>
            </w:r>
            <w:r w:rsidRPr="00294153">
              <w:rPr>
                <w:rFonts w:ascii="Times New Roman" w:hAnsi="Times New Roman"/>
              </w:rPr>
              <w:t xml:space="preserve">, </w:t>
            </w:r>
          </w:p>
          <w:p w14:paraId="2A043430"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Сургут</w:t>
            </w:r>
          </w:p>
        </w:tc>
        <w:tc>
          <w:tcPr>
            <w:tcW w:w="2099" w:type="dxa"/>
            <w:tcBorders>
              <w:top w:val="single" w:sz="4" w:space="0" w:color="auto"/>
              <w:left w:val="single" w:sz="4" w:space="0" w:color="auto"/>
              <w:bottom w:val="single" w:sz="4" w:space="0" w:color="auto"/>
              <w:right w:val="single" w:sz="4" w:space="0" w:color="auto"/>
            </w:tcBorders>
            <w:hideMark/>
          </w:tcPr>
          <w:p w14:paraId="7E52D499"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логистических процессов</w:t>
            </w:r>
          </w:p>
        </w:tc>
        <w:tc>
          <w:tcPr>
            <w:tcW w:w="1238" w:type="dxa"/>
            <w:tcBorders>
              <w:top w:val="single" w:sz="4" w:space="0" w:color="auto"/>
              <w:left w:val="single" w:sz="4" w:space="0" w:color="auto"/>
              <w:bottom w:val="single" w:sz="4" w:space="0" w:color="auto"/>
              <w:right w:val="single" w:sz="4" w:space="0" w:color="auto"/>
            </w:tcBorders>
            <w:hideMark/>
          </w:tcPr>
          <w:p w14:paraId="4AB2F681"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xml:space="preserve">- 50 </w:t>
            </w:r>
          </w:p>
        </w:tc>
        <w:tc>
          <w:tcPr>
            <w:tcW w:w="1626" w:type="dxa"/>
            <w:tcBorders>
              <w:top w:val="single" w:sz="4" w:space="0" w:color="auto"/>
              <w:left w:val="single" w:sz="4" w:space="0" w:color="auto"/>
              <w:bottom w:val="single" w:sz="4" w:space="0" w:color="auto"/>
              <w:right w:val="single" w:sz="4" w:space="0" w:color="auto"/>
            </w:tcBorders>
            <w:hideMark/>
          </w:tcPr>
          <w:p w14:paraId="4EA795B1"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- 60</w:t>
            </w:r>
          </w:p>
        </w:tc>
        <w:tc>
          <w:tcPr>
            <w:tcW w:w="1223" w:type="dxa"/>
            <w:tcBorders>
              <w:top w:val="single" w:sz="4" w:space="0" w:color="auto"/>
              <w:left w:val="single" w:sz="4" w:space="0" w:color="auto"/>
              <w:bottom w:val="single" w:sz="4" w:space="0" w:color="auto"/>
              <w:right w:val="single" w:sz="4" w:space="0" w:color="auto"/>
            </w:tcBorders>
            <w:hideMark/>
          </w:tcPr>
          <w:p w14:paraId="0E26978C"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+ 62</w:t>
            </w:r>
          </w:p>
        </w:tc>
      </w:tr>
      <w:tr w:rsidR="005B6F0E" w:rsidRPr="00294153" w14:paraId="26EBDD81"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39813373"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15</w:t>
            </w:r>
          </w:p>
        </w:tc>
        <w:tc>
          <w:tcPr>
            <w:tcW w:w="2860" w:type="dxa"/>
            <w:tcBorders>
              <w:top w:val="single" w:sz="4" w:space="0" w:color="auto"/>
              <w:left w:val="single" w:sz="4" w:space="0" w:color="auto"/>
              <w:bottom w:val="single" w:sz="4" w:space="0" w:color="auto"/>
              <w:right w:val="single" w:sz="4" w:space="0" w:color="auto"/>
            </w:tcBorders>
            <w:hideMark/>
          </w:tcPr>
          <w:p w14:paraId="2C9F8DEF"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ЭкоСиб</w:t>
            </w:r>
            <w:r w:rsidR="00B01627" w:rsidRPr="00294153">
              <w:rPr>
                <w:rFonts w:ascii="Times New Roman" w:hAnsi="Times New Roman"/>
              </w:rPr>
              <w:t>»</w:t>
            </w:r>
            <w:r w:rsidRPr="00294153">
              <w:rPr>
                <w:rFonts w:ascii="Times New Roman" w:hAnsi="Times New Roman"/>
              </w:rPr>
              <w:t xml:space="preserve">, </w:t>
            </w:r>
          </w:p>
          <w:p w14:paraId="0014C46C"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Мегион</w:t>
            </w:r>
          </w:p>
        </w:tc>
        <w:tc>
          <w:tcPr>
            <w:tcW w:w="2099" w:type="dxa"/>
            <w:tcBorders>
              <w:top w:val="single" w:sz="4" w:space="0" w:color="auto"/>
              <w:left w:val="single" w:sz="4" w:space="0" w:color="auto"/>
              <w:bottom w:val="single" w:sz="4" w:space="0" w:color="auto"/>
              <w:right w:val="single" w:sz="4" w:space="0" w:color="auto"/>
            </w:tcBorders>
            <w:hideMark/>
          </w:tcPr>
          <w:p w14:paraId="37C0185C"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организации и проведения ремонта ТС</w:t>
            </w:r>
          </w:p>
        </w:tc>
        <w:tc>
          <w:tcPr>
            <w:tcW w:w="1238" w:type="dxa"/>
            <w:tcBorders>
              <w:top w:val="single" w:sz="4" w:space="0" w:color="auto"/>
              <w:left w:val="single" w:sz="4" w:space="0" w:color="auto"/>
              <w:bottom w:val="single" w:sz="4" w:space="0" w:color="auto"/>
              <w:right w:val="single" w:sz="4" w:space="0" w:color="auto"/>
            </w:tcBorders>
            <w:hideMark/>
          </w:tcPr>
          <w:p w14:paraId="5F7352F2"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- 80</w:t>
            </w:r>
          </w:p>
        </w:tc>
        <w:tc>
          <w:tcPr>
            <w:tcW w:w="1626" w:type="dxa"/>
            <w:tcBorders>
              <w:top w:val="single" w:sz="4" w:space="0" w:color="auto"/>
              <w:left w:val="single" w:sz="4" w:space="0" w:color="auto"/>
              <w:bottom w:val="single" w:sz="4" w:space="0" w:color="auto"/>
              <w:right w:val="single" w:sz="4" w:space="0" w:color="auto"/>
            </w:tcBorders>
            <w:hideMark/>
          </w:tcPr>
          <w:p w14:paraId="6641E700"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- 75</w:t>
            </w:r>
          </w:p>
        </w:tc>
        <w:tc>
          <w:tcPr>
            <w:tcW w:w="1223" w:type="dxa"/>
            <w:tcBorders>
              <w:top w:val="single" w:sz="4" w:space="0" w:color="auto"/>
              <w:left w:val="single" w:sz="4" w:space="0" w:color="auto"/>
              <w:bottom w:val="single" w:sz="4" w:space="0" w:color="auto"/>
              <w:right w:val="single" w:sz="4" w:space="0" w:color="auto"/>
            </w:tcBorders>
            <w:hideMark/>
          </w:tcPr>
          <w:p w14:paraId="0947EA15"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+ 120</w:t>
            </w:r>
          </w:p>
        </w:tc>
      </w:tr>
      <w:tr w:rsidR="005B6F0E" w:rsidRPr="00294153" w14:paraId="6640F1CE" w14:textId="77777777" w:rsidTr="00294153">
        <w:trPr>
          <w:trHeight w:val="144"/>
        </w:trPr>
        <w:tc>
          <w:tcPr>
            <w:tcW w:w="492" w:type="dxa"/>
            <w:tcBorders>
              <w:top w:val="single" w:sz="4" w:space="0" w:color="auto"/>
              <w:left w:val="single" w:sz="4" w:space="0" w:color="auto"/>
              <w:bottom w:val="single" w:sz="4" w:space="0" w:color="auto"/>
              <w:right w:val="single" w:sz="4" w:space="0" w:color="auto"/>
            </w:tcBorders>
            <w:hideMark/>
          </w:tcPr>
          <w:p w14:paraId="419D6858"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16</w:t>
            </w:r>
          </w:p>
        </w:tc>
        <w:tc>
          <w:tcPr>
            <w:tcW w:w="2860" w:type="dxa"/>
            <w:tcBorders>
              <w:top w:val="single" w:sz="4" w:space="0" w:color="auto"/>
              <w:left w:val="single" w:sz="4" w:space="0" w:color="auto"/>
              <w:bottom w:val="single" w:sz="4" w:space="0" w:color="auto"/>
              <w:right w:val="single" w:sz="4" w:space="0" w:color="auto"/>
            </w:tcBorders>
            <w:hideMark/>
          </w:tcPr>
          <w:p w14:paraId="4EB8C093"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w:t>
            </w:r>
            <w:r w:rsidR="00B01627" w:rsidRPr="00294153">
              <w:rPr>
                <w:rFonts w:ascii="Times New Roman" w:hAnsi="Times New Roman"/>
              </w:rPr>
              <w:t>«</w:t>
            </w:r>
            <w:r w:rsidRPr="00294153">
              <w:rPr>
                <w:rFonts w:ascii="Times New Roman" w:hAnsi="Times New Roman"/>
              </w:rPr>
              <w:t>СТС</w:t>
            </w:r>
            <w:r w:rsidR="00B01627" w:rsidRPr="00294153">
              <w:rPr>
                <w:rFonts w:ascii="Times New Roman" w:hAnsi="Times New Roman"/>
              </w:rPr>
              <w:t>»</w:t>
            </w:r>
            <w:r w:rsidRPr="00294153">
              <w:rPr>
                <w:rFonts w:ascii="Times New Roman" w:hAnsi="Times New Roman"/>
              </w:rPr>
              <w:t xml:space="preserve">,                       </w:t>
            </w:r>
          </w:p>
          <w:p w14:paraId="20C0A19E"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Нефтеюганск</w:t>
            </w:r>
          </w:p>
        </w:tc>
        <w:tc>
          <w:tcPr>
            <w:tcW w:w="2099" w:type="dxa"/>
            <w:tcBorders>
              <w:top w:val="single" w:sz="4" w:space="0" w:color="auto"/>
              <w:left w:val="single" w:sz="4" w:space="0" w:color="auto"/>
              <w:bottom w:val="single" w:sz="4" w:space="0" w:color="auto"/>
              <w:right w:val="single" w:sz="4" w:space="0" w:color="auto"/>
            </w:tcBorders>
            <w:hideMark/>
          </w:tcPr>
          <w:p w14:paraId="1904F88D"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ТО и ремонта пассажирского автотранспорта</w:t>
            </w:r>
          </w:p>
        </w:tc>
        <w:tc>
          <w:tcPr>
            <w:tcW w:w="1238" w:type="dxa"/>
            <w:tcBorders>
              <w:top w:val="single" w:sz="4" w:space="0" w:color="auto"/>
              <w:left w:val="single" w:sz="4" w:space="0" w:color="auto"/>
              <w:bottom w:val="single" w:sz="4" w:space="0" w:color="auto"/>
              <w:right w:val="single" w:sz="4" w:space="0" w:color="auto"/>
            </w:tcBorders>
            <w:hideMark/>
          </w:tcPr>
          <w:p w14:paraId="6EBFFE01"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- 21</w:t>
            </w:r>
          </w:p>
        </w:tc>
        <w:tc>
          <w:tcPr>
            <w:tcW w:w="1626" w:type="dxa"/>
            <w:tcBorders>
              <w:top w:val="single" w:sz="4" w:space="0" w:color="auto"/>
              <w:left w:val="single" w:sz="4" w:space="0" w:color="auto"/>
              <w:bottom w:val="single" w:sz="4" w:space="0" w:color="auto"/>
              <w:right w:val="single" w:sz="4" w:space="0" w:color="auto"/>
            </w:tcBorders>
            <w:hideMark/>
          </w:tcPr>
          <w:p w14:paraId="568062D3"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- 24</w:t>
            </w:r>
          </w:p>
        </w:tc>
        <w:tc>
          <w:tcPr>
            <w:tcW w:w="1223" w:type="dxa"/>
            <w:tcBorders>
              <w:top w:val="single" w:sz="4" w:space="0" w:color="auto"/>
              <w:left w:val="single" w:sz="4" w:space="0" w:color="auto"/>
              <w:bottom w:val="single" w:sz="4" w:space="0" w:color="auto"/>
              <w:right w:val="single" w:sz="4" w:space="0" w:color="auto"/>
            </w:tcBorders>
            <w:hideMark/>
          </w:tcPr>
          <w:p w14:paraId="165C193D"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+ 19</w:t>
            </w:r>
          </w:p>
        </w:tc>
      </w:tr>
      <w:tr w:rsidR="005B6F0E" w:rsidRPr="00294153" w14:paraId="0BC51D2F" w14:textId="77777777" w:rsidTr="00294153">
        <w:trPr>
          <w:trHeight w:val="1264"/>
        </w:trPr>
        <w:tc>
          <w:tcPr>
            <w:tcW w:w="492" w:type="dxa"/>
            <w:tcBorders>
              <w:top w:val="single" w:sz="4" w:space="0" w:color="auto"/>
              <w:left w:val="single" w:sz="4" w:space="0" w:color="auto"/>
              <w:bottom w:val="single" w:sz="4" w:space="0" w:color="auto"/>
              <w:right w:val="single" w:sz="4" w:space="0" w:color="auto"/>
            </w:tcBorders>
            <w:hideMark/>
          </w:tcPr>
          <w:p w14:paraId="648951F6"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17</w:t>
            </w:r>
          </w:p>
        </w:tc>
        <w:tc>
          <w:tcPr>
            <w:tcW w:w="2860" w:type="dxa"/>
            <w:tcBorders>
              <w:top w:val="single" w:sz="4" w:space="0" w:color="auto"/>
              <w:left w:val="single" w:sz="4" w:space="0" w:color="auto"/>
              <w:bottom w:val="single" w:sz="4" w:space="0" w:color="auto"/>
              <w:right w:val="single" w:sz="4" w:space="0" w:color="auto"/>
            </w:tcBorders>
            <w:hideMark/>
          </w:tcPr>
          <w:p w14:paraId="031A3A50" w14:textId="77777777" w:rsidR="005B6F0E" w:rsidRPr="00294153" w:rsidRDefault="00752D81">
            <w:pPr>
              <w:pStyle w:val="a3"/>
              <w:spacing w:after="0" w:line="240" w:lineRule="auto"/>
              <w:ind w:left="0"/>
              <w:rPr>
                <w:rFonts w:ascii="Times New Roman" w:hAnsi="Times New Roman"/>
              </w:rPr>
            </w:pPr>
            <w:r w:rsidRPr="00294153">
              <w:rPr>
                <w:rFonts w:ascii="Times New Roman" w:hAnsi="Times New Roman"/>
              </w:rPr>
              <w:t xml:space="preserve">ООО ТД </w:t>
            </w:r>
            <w:r w:rsidR="00B01627" w:rsidRPr="00294153">
              <w:rPr>
                <w:rFonts w:ascii="Times New Roman" w:hAnsi="Times New Roman"/>
              </w:rPr>
              <w:t>«</w:t>
            </w:r>
            <w:r w:rsidRPr="00294153">
              <w:rPr>
                <w:rFonts w:ascii="Times New Roman" w:hAnsi="Times New Roman"/>
              </w:rPr>
              <w:t>ЭКОНО-ТЕХ</w:t>
            </w:r>
            <w:r w:rsidR="00B01627" w:rsidRPr="00294153">
              <w:rPr>
                <w:rFonts w:ascii="Times New Roman" w:hAnsi="Times New Roman"/>
              </w:rPr>
              <w:t>»</w:t>
            </w:r>
            <w:r w:rsidRPr="00294153">
              <w:rPr>
                <w:rFonts w:ascii="Times New Roman" w:hAnsi="Times New Roman"/>
              </w:rPr>
              <w:t xml:space="preserve">, </w:t>
            </w:r>
          </w:p>
          <w:p w14:paraId="203BD0C7"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г. Нижневартовск</w:t>
            </w:r>
          </w:p>
        </w:tc>
        <w:tc>
          <w:tcPr>
            <w:tcW w:w="2099" w:type="dxa"/>
            <w:tcBorders>
              <w:top w:val="single" w:sz="4" w:space="0" w:color="auto"/>
              <w:left w:val="single" w:sz="4" w:space="0" w:color="auto"/>
              <w:bottom w:val="single" w:sz="4" w:space="0" w:color="auto"/>
              <w:right w:val="single" w:sz="4" w:space="0" w:color="auto"/>
            </w:tcBorders>
            <w:hideMark/>
          </w:tcPr>
          <w:p w14:paraId="31C5213C" w14:textId="77777777" w:rsidR="00752D81" w:rsidRPr="00294153" w:rsidRDefault="00752D81">
            <w:pPr>
              <w:pStyle w:val="a3"/>
              <w:spacing w:after="0" w:line="240" w:lineRule="auto"/>
              <w:ind w:left="0"/>
              <w:rPr>
                <w:rFonts w:ascii="Times New Roman" w:hAnsi="Times New Roman"/>
              </w:rPr>
            </w:pPr>
            <w:r w:rsidRPr="00294153">
              <w:rPr>
                <w:rFonts w:ascii="Times New Roman" w:hAnsi="Times New Roman"/>
              </w:rPr>
              <w:t>Оптимизация процесса производства Гелеобразователя WG-46</w:t>
            </w:r>
          </w:p>
        </w:tc>
        <w:tc>
          <w:tcPr>
            <w:tcW w:w="1238" w:type="dxa"/>
            <w:tcBorders>
              <w:top w:val="single" w:sz="4" w:space="0" w:color="auto"/>
              <w:left w:val="single" w:sz="4" w:space="0" w:color="auto"/>
              <w:bottom w:val="single" w:sz="4" w:space="0" w:color="auto"/>
              <w:right w:val="single" w:sz="4" w:space="0" w:color="auto"/>
            </w:tcBorders>
            <w:hideMark/>
          </w:tcPr>
          <w:p w14:paraId="7298DB74"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- 62</w:t>
            </w:r>
          </w:p>
        </w:tc>
        <w:tc>
          <w:tcPr>
            <w:tcW w:w="1626" w:type="dxa"/>
            <w:tcBorders>
              <w:top w:val="single" w:sz="4" w:space="0" w:color="auto"/>
              <w:left w:val="single" w:sz="4" w:space="0" w:color="auto"/>
              <w:bottom w:val="single" w:sz="4" w:space="0" w:color="auto"/>
              <w:right w:val="single" w:sz="4" w:space="0" w:color="auto"/>
            </w:tcBorders>
            <w:hideMark/>
          </w:tcPr>
          <w:p w14:paraId="6D27D71E"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- 81</w:t>
            </w:r>
          </w:p>
        </w:tc>
        <w:tc>
          <w:tcPr>
            <w:tcW w:w="1223" w:type="dxa"/>
            <w:tcBorders>
              <w:top w:val="single" w:sz="4" w:space="0" w:color="auto"/>
              <w:left w:val="single" w:sz="4" w:space="0" w:color="auto"/>
              <w:bottom w:val="single" w:sz="4" w:space="0" w:color="auto"/>
              <w:right w:val="single" w:sz="4" w:space="0" w:color="auto"/>
            </w:tcBorders>
            <w:hideMark/>
          </w:tcPr>
          <w:p w14:paraId="2C747BFB" w14:textId="77777777" w:rsidR="00752D81" w:rsidRPr="00294153" w:rsidRDefault="00752D81">
            <w:pPr>
              <w:pStyle w:val="a3"/>
              <w:spacing w:after="0" w:line="240" w:lineRule="auto"/>
              <w:ind w:left="0"/>
              <w:jc w:val="center"/>
              <w:rPr>
                <w:rFonts w:ascii="Times New Roman" w:hAnsi="Times New Roman"/>
              </w:rPr>
            </w:pPr>
            <w:r w:rsidRPr="00294153">
              <w:rPr>
                <w:rFonts w:ascii="Times New Roman" w:hAnsi="Times New Roman"/>
              </w:rPr>
              <w:t>+ 60</w:t>
            </w:r>
          </w:p>
        </w:tc>
      </w:tr>
    </w:tbl>
    <w:p w14:paraId="23FD551D" w14:textId="77777777" w:rsidR="00752D81" w:rsidRPr="00294153" w:rsidRDefault="00752D81" w:rsidP="00752D81">
      <w:pPr>
        <w:spacing w:after="0" w:line="360" w:lineRule="auto"/>
        <w:ind w:firstLine="708"/>
        <w:jc w:val="both"/>
        <w:rPr>
          <w:rFonts w:ascii="Times New Roman" w:hAnsi="Times New Roman"/>
          <w:sz w:val="28"/>
          <w:szCs w:val="28"/>
        </w:rPr>
      </w:pPr>
    </w:p>
    <w:p w14:paraId="48B7067C" w14:textId="77777777" w:rsidR="00752D81" w:rsidRPr="00294153" w:rsidRDefault="00752D81" w:rsidP="00752D81">
      <w:pPr>
        <w:spacing w:after="0" w:line="360" w:lineRule="auto"/>
        <w:ind w:firstLine="708"/>
        <w:jc w:val="both"/>
        <w:rPr>
          <w:rFonts w:ascii="Times New Roman" w:hAnsi="Times New Roman"/>
          <w:sz w:val="28"/>
          <w:szCs w:val="28"/>
        </w:rPr>
      </w:pPr>
      <w:r w:rsidRPr="00294153">
        <w:rPr>
          <w:rFonts w:ascii="Times New Roman" w:hAnsi="Times New Roman"/>
          <w:sz w:val="28"/>
          <w:szCs w:val="28"/>
        </w:rPr>
        <w:t xml:space="preserve">За 2023 год 69,6 % предприятий автономного округа, внедряющих мероприятия национального проекта, достигли ежегодного пятипроцентного прироста производительности труда. </w:t>
      </w:r>
    </w:p>
    <w:p w14:paraId="3080B1CB" w14:textId="77777777" w:rsidR="00752D81" w:rsidRPr="00294153" w:rsidRDefault="00752D81" w:rsidP="00752D81">
      <w:pPr>
        <w:spacing w:after="0" w:line="360" w:lineRule="auto"/>
        <w:ind w:firstLine="708"/>
        <w:jc w:val="both"/>
        <w:rPr>
          <w:rFonts w:ascii="Times New Roman" w:hAnsi="Times New Roman"/>
          <w:i/>
          <w:iCs/>
          <w:sz w:val="24"/>
          <w:szCs w:val="24"/>
        </w:rPr>
      </w:pPr>
      <w:r w:rsidRPr="00294153">
        <w:rPr>
          <w:rFonts w:ascii="Times New Roman" w:hAnsi="Times New Roman"/>
          <w:i/>
          <w:iCs/>
          <w:sz w:val="24"/>
          <w:szCs w:val="24"/>
        </w:rPr>
        <w:t>Справочно: за 2024 год информация будет предоставлена Минэкономразвития России во 2 полугодии 2025 года.</w:t>
      </w:r>
    </w:p>
    <w:p w14:paraId="54317E0E" w14:textId="77777777" w:rsidR="00752D81" w:rsidRPr="00294153" w:rsidRDefault="00752D81" w:rsidP="00752D81">
      <w:pPr>
        <w:spacing w:after="0" w:line="360" w:lineRule="auto"/>
        <w:ind w:firstLine="708"/>
        <w:jc w:val="both"/>
        <w:rPr>
          <w:rFonts w:ascii="Times New Roman" w:hAnsi="Times New Roman"/>
          <w:sz w:val="28"/>
          <w:szCs w:val="28"/>
        </w:rPr>
      </w:pPr>
      <w:r w:rsidRPr="00294153">
        <w:rPr>
          <w:rFonts w:ascii="Times New Roman" w:hAnsi="Times New Roman"/>
          <w:sz w:val="28"/>
          <w:szCs w:val="28"/>
        </w:rPr>
        <w:t>Уровень удовлетворенности предприятий-участников работой РЦК за 2023 год составил 93% (письмо ФЦК исх. № 2024/3-950 от 20.06.2024).</w:t>
      </w:r>
    </w:p>
    <w:p w14:paraId="09BDB99A" w14:textId="77777777" w:rsidR="00752D81" w:rsidRPr="00294153" w:rsidRDefault="00752D81" w:rsidP="00752D81">
      <w:pPr>
        <w:spacing w:after="0" w:line="360" w:lineRule="auto"/>
        <w:ind w:firstLine="708"/>
        <w:jc w:val="both"/>
        <w:rPr>
          <w:rFonts w:ascii="Times New Roman" w:hAnsi="Times New Roman"/>
          <w:i/>
          <w:iCs/>
          <w:sz w:val="24"/>
          <w:szCs w:val="24"/>
        </w:rPr>
      </w:pPr>
      <w:r w:rsidRPr="00294153">
        <w:rPr>
          <w:rFonts w:ascii="Times New Roman" w:hAnsi="Times New Roman"/>
          <w:i/>
          <w:iCs/>
          <w:sz w:val="24"/>
          <w:szCs w:val="24"/>
        </w:rPr>
        <w:t xml:space="preserve">Справочно: за 2024 год информация будет предоставлена АНО </w:t>
      </w:r>
      <w:r w:rsidR="00B01627" w:rsidRPr="00294153">
        <w:rPr>
          <w:rFonts w:ascii="Times New Roman" w:hAnsi="Times New Roman"/>
          <w:i/>
          <w:iCs/>
          <w:sz w:val="24"/>
          <w:szCs w:val="24"/>
        </w:rPr>
        <w:t>«</w:t>
      </w:r>
      <w:r w:rsidRPr="00294153">
        <w:rPr>
          <w:rFonts w:ascii="Times New Roman" w:hAnsi="Times New Roman"/>
          <w:i/>
          <w:iCs/>
          <w:sz w:val="24"/>
          <w:szCs w:val="24"/>
        </w:rPr>
        <w:t>Федеральный центр компетенций</w:t>
      </w:r>
      <w:r w:rsidR="00B01627" w:rsidRPr="00294153">
        <w:rPr>
          <w:rFonts w:ascii="Times New Roman" w:hAnsi="Times New Roman"/>
          <w:i/>
          <w:iCs/>
          <w:sz w:val="24"/>
          <w:szCs w:val="24"/>
        </w:rPr>
        <w:t>»</w:t>
      </w:r>
      <w:r w:rsidRPr="00294153">
        <w:rPr>
          <w:rFonts w:ascii="Times New Roman" w:hAnsi="Times New Roman"/>
          <w:i/>
          <w:iCs/>
          <w:sz w:val="24"/>
          <w:szCs w:val="24"/>
        </w:rPr>
        <w:t xml:space="preserve"> в июне 2025 года.</w:t>
      </w:r>
    </w:p>
    <w:p w14:paraId="4E860C9B" w14:textId="77777777" w:rsidR="00752D81" w:rsidRPr="00294153" w:rsidRDefault="00752D81" w:rsidP="00752D81">
      <w:pPr>
        <w:spacing w:line="360" w:lineRule="auto"/>
        <w:ind w:firstLine="708"/>
        <w:contextualSpacing/>
        <w:jc w:val="both"/>
        <w:rPr>
          <w:rFonts w:ascii="Times New Roman" w:hAnsi="Times New Roman"/>
          <w:sz w:val="28"/>
          <w:szCs w:val="28"/>
        </w:rPr>
      </w:pPr>
      <w:r w:rsidRPr="00294153">
        <w:rPr>
          <w:rFonts w:ascii="Times New Roman" w:hAnsi="Times New Roman"/>
          <w:sz w:val="28"/>
          <w:szCs w:val="28"/>
        </w:rPr>
        <w:lastRenderedPageBreak/>
        <w:t>2.</w:t>
      </w:r>
      <w:r w:rsidRPr="00294153">
        <w:rPr>
          <w:rFonts w:ascii="Times New Roman" w:hAnsi="Times New Roman"/>
          <w:sz w:val="28"/>
          <w:szCs w:val="28"/>
        </w:rPr>
        <w:tab/>
        <w:t xml:space="preserve">В рамках реализации регионального проекта </w:t>
      </w:r>
      <w:r w:rsidR="00B01627" w:rsidRPr="00294153">
        <w:rPr>
          <w:rFonts w:ascii="Times New Roman" w:hAnsi="Times New Roman"/>
          <w:sz w:val="28"/>
          <w:szCs w:val="28"/>
        </w:rPr>
        <w:t>«</w:t>
      </w:r>
      <w:r w:rsidRPr="00294153">
        <w:rPr>
          <w:rFonts w:ascii="Times New Roman" w:hAnsi="Times New Roman"/>
          <w:sz w:val="28"/>
          <w:szCs w:val="28"/>
        </w:rPr>
        <w:t>Развитие экспортно-ориентированных производств в Югре</w:t>
      </w:r>
      <w:r w:rsidR="00B01627" w:rsidRPr="00294153">
        <w:rPr>
          <w:rFonts w:ascii="Times New Roman" w:hAnsi="Times New Roman"/>
          <w:sz w:val="28"/>
          <w:szCs w:val="28"/>
        </w:rPr>
        <w:t>»</w:t>
      </w:r>
      <w:r w:rsidRPr="00294153">
        <w:rPr>
          <w:rFonts w:ascii="Times New Roman" w:hAnsi="Times New Roman"/>
          <w:sz w:val="28"/>
          <w:szCs w:val="28"/>
        </w:rPr>
        <w:t xml:space="preserve"> (далее – региональный проект): привлечено к участию 1 предприятие (ООО </w:t>
      </w:r>
      <w:r w:rsidR="00B01627" w:rsidRPr="00294153">
        <w:rPr>
          <w:rFonts w:ascii="Times New Roman" w:hAnsi="Times New Roman"/>
          <w:sz w:val="28"/>
          <w:szCs w:val="28"/>
        </w:rPr>
        <w:t>«</w:t>
      </w:r>
      <w:r w:rsidRPr="00294153">
        <w:rPr>
          <w:rFonts w:ascii="Times New Roman" w:hAnsi="Times New Roman"/>
          <w:sz w:val="28"/>
          <w:szCs w:val="28"/>
        </w:rPr>
        <w:t xml:space="preserve">ЛПК </w:t>
      </w:r>
      <w:r w:rsidR="00B01627" w:rsidRPr="00294153">
        <w:rPr>
          <w:rFonts w:ascii="Times New Roman" w:hAnsi="Times New Roman"/>
          <w:sz w:val="28"/>
          <w:szCs w:val="28"/>
        </w:rPr>
        <w:t>«</w:t>
      </w:r>
      <w:r w:rsidRPr="00294153">
        <w:rPr>
          <w:rFonts w:ascii="Times New Roman" w:hAnsi="Times New Roman"/>
          <w:sz w:val="28"/>
          <w:szCs w:val="28"/>
        </w:rPr>
        <w:t>Аслан</w:t>
      </w:r>
      <w:r w:rsidR="00B01627" w:rsidRPr="00294153">
        <w:rPr>
          <w:rFonts w:ascii="Times New Roman" w:hAnsi="Times New Roman"/>
          <w:sz w:val="28"/>
          <w:szCs w:val="28"/>
        </w:rPr>
        <w:t>»</w:t>
      </w:r>
      <w:r w:rsidRPr="00294153">
        <w:rPr>
          <w:rFonts w:ascii="Times New Roman" w:hAnsi="Times New Roman"/>
          <w:sz w:val="28"/>
          <w:szCs w:val="28"/>
        </w:rPr>
        <w:t xml:space="preserve">, г. Советский). </w:t>
      </w:r>
    </w:p>
    <w:p w14:paraId="079E70FA" w14:textId="77777777" w:rsidR="00752D81" w:rsidRPr="00294153" w:rsidRDefault="00752D81" w:rsidP="00752D81">
      <w:pPr>
        <w:spacing w:line="360" w:lineRule="auto"/>
        <w:contextualSpacing/>
        <w:jc w:val="both"/>
        <w:rPr>
          <w:rFonts w:ascii="Times New Roman" w:hAnsi="Times New Roman"/>
          <w:sz w:val="28"/>
          <w:szCs w:val="28"/>
        </w:rPr>
      </w:pPr>
      <w:r w:rsidRPr="00294153">
        <w:rPr>
          <w:rFonts w:ascii="Times New Roman" w:hAnsi="Times New Roman"/>
          <w:sz w:val="28"/>
          <w:szCs w:val="28"/>
        </w:rPr>
        <w:t xml:space="preserve">Справочно: с начала 2024 года участвуют в региональном проекте – 3 предприятия (БУ </w:t>
      </w:r>
      <w:r w:rsidR="00B13827" w:rsidRPr="00294153">
        <w:rPr>
          <w:rFonts w:ascii="Times New Roman" w:hAnsi="Times New Roman"/>
          <w:sz w:val="28"/>
          <w:szCs w:val="28"/>
        </w:rPr>
        <w:t>автономного округа</w:t>
      </w:r>
      <w:r w:rsidRPr="00294153">
        <w:rPr>
          <w:rFonts w:ascii="Times New Roman" w:hAnsi="Times New Roman"/>
          <w:sz w:val="28"/>
          <w:szCs w:val="28"/>
        </w:rPr>
        <w:t xml:space="preserve"> </w:t>
      </w:r>
      <w:r w:rsidR="00B01627" w:rsidRPr="00294153">
        <w:rPr>
          <w:rFonts w:ascii="Times New Roman" w:hAnsi="Times New Roman"/>
          <w:sz w:val="28"/>
          <w:szCs w:val="28"/>
        </w:rPr>
        <w:t>«</w:t>
      </w:r>
      <w:r w:rsidRPr="00294153">
        <w:rPr>
          <w:rFonts w:ascii="Times New Roman" w:hAnsi="Times New Roman"/>
          <w:sz w:val="28"/>
          <w:szCs w:val="28"/>
        </w:rPr>
        <w:t>Нефтеюганская окружная клиническая больница имени В.И. Яцкив</w:t>
      </w:r>
      <w:r w:rsidR="00B01627" w:rsidRPr="00294153">
        <w:rPr>
          <w:rFonts w:ascii="Times New Roman" w:hAnsi="Times New Roman"/>
          <w:sz w:val="28"/>
          <w:szCs w:val="28"/>
        </w:rPr>
        <w:t>»</w:t>
      </w:r>
      <w:r w:rsidRPr="00294153">
        <w:rPr>
          <w:rFonts w:ascii="Times New Roman" w:hAnsi="Times New Roman"/>
          <w:sz w:val="28"/>
          <w:szCs w:val="28"/>
        </w:rPr>
        <w:t xml:space="preserve">, г. Нефтеюганск, ООО </w:t>
      </w:r>
      <w:r w:rsidR="00B01627" w:rsidRPr="00294153">
        <w:rPr>
          <w:rFonts w:ascii="Times New Roman" w:hAnsi="Times New Roman"/>
          <w:sz w:val="28"/>
          <w:szCs w:val="28"/>
        </w:rPr>
        <w:t>«</w:t>
      </w:r>
      <w:r w:rsidRPr="00294153">
        <w:rPr>
          <w:rFonts w:ascii="Times New Roman" w:hAnsi="Times New Roman"/>
          <w:sz w:val="28"/>
          <w:szCs w:val="28"/>
        </w:rPr>
        <w:t xml:space="preserve">Нижневартовский рыбоконсервный комбинат </w:t>
      </w:r>
      <w:r w:rsidR="00B01627" w:rsidRPr="00294153">
        <w:rPr>
          <w:rFonts w:ascii="Times New Roman" w:hAnsi="Times New Roman"/>
          <w:sz w:val="28"/>
          <w:szCs w:val="28"/>
        </w:rPr>
        <w:t>«</w:t>
      </w:r>
      <w:r w:rsidRPr="00294153">
        <w:rPr>
          <w:rFonts w:ascii="Times New Roman" w:hAnsi="Times New Roman"/>
          <w:sz w:val="28"/>
          <w:szCs w:val="28"/>
        </w:rPr>
        <w:t>Санта-Мария</w:t>
      </w:r>
      <w:r w:rsidR="00B01627" w:rsidRPr="00294153">
        <w:rPr>
          <w:rFonts w:ascii="Times New Roman" w:hAnsi="Times New Roman"/>
          <w:sz w:val="28"/>
          <w:szCs w:val="28"/>
        </w:rPr>
        <w:t>»</w:t>
      </w:r>
      <w:r w:rsidRPr="00294153">
        <w:rPr>
          <w:rFonts w:ascii="Times New Roman" w:hAnsi="Times New Roman"/>
          <w:sz w:val="28"/>
          <w:szCs w:val="28"/>
        </w:rPr>
        <w:t xml:space="preserve">, г. Нижневартовск, ООО </w:t>
      </w:r>
      <w:r w:rsidR="00B01627" w:rsidRPr="00294153">
        <w:rPr>
          <w:rFonts w:ascii="Times New Roman" w:hAnsi="Times New Roman"/>
          <w:sz w:val="28"/>
          <w:szCs w:val="28"/>
        </w:rPr>
        <w:t>«</w:t>
      </w:r>
      <w:r w:rsidRPr="00294153">
        <w:rPr>
          <w:rFonts w:ascii="Times New Roman" w:hAnsi="Times New Roman"/>
          <w:sz w:val="28"/>
          <w:szCs w:val="28"/>
        </w:rPr>
        <w:t xml:space="preserve">ЛПК </w:t>
      </w:r>
      <w:r w:rsidR="00B01627" w:rsidRPr="00294153">
        <w:rPr>
          <w:rFonts w:ascii="Times New Roman" w:hAnsi="Times New Roman"/>
          <w:sz w:val="28"/>
          <w:szCs w:val="28"/>
        </w:rPr>
        <w:t>«</w:t>
      </w:r>
      <w:r w:rsidRPr="00294153">
        <w:rPr>
          <w:rFonts w:ascii="Times New Roman" w:hAnsi="Times New Roman"/>
          <w:sz w:val="28"/>
          <w:szCs w:val="28"/>
        </w:rPr>
        <w:t>Аслан</w:t>
      </w:r>
      <w:r w:rsidR="00B01627" w:rsidRPr="00294153">
        <w:rPr>
          <w:rFonts w:ascii="Times New Roman" w:hAnsi="Times New Roman"/>
          <w:sz w:val="28"/>
          <w:szCs w:val="28"/>
        </w:rPr>
        <w:t>»</w:t>
      </w:r>
      <w:r w:rsidRPr="00294153">
        <w:rPr>
          <w:rFonts w:ascii="Times New Roman" w:hAnsi="Times New Roman"/>
          <w:sz w:val="28"/>
          <w:szCs w:val="28"/>
        </w:rPr>
        <w:t>, г. Советский).</w:t>
      </w:r>
    </w:p>
    <w:p w14:paraId="6460D20D" w14:textId="77777777" w:rsidR="00752D81" w:rsidRPr="00294153" w:rsidRDefault="00752D81" w:rsidP="00294153">
      <w:pPr>
        <w:spacing w:after="0" w:line="360" w:lineRule="auto"/>
        <w:contextualSpacing/>
        <w:jc w:val="both"/>
        <w:rPr>
          <w:rFonts w:ascii="Times New Roman" w:hAnsi="Times New Roman"/>
          <w:sz w:val="28"/>
          <w:szCs w:val="28"/>
        </w:rPr>
      </w:pPr>
      <w:r w:rsidRPr="00294153">
        <w:rPr>
          <w:rFonts w:ascii="Times New Roman" w:hAnsi="Times New Roman"/>
          <w:sz w:val="28"/>
          <w:szCs w:val="28"/>
        </w:rPr>
        <w:tab/>
        <w:t xml:space="preserve">Реализация проекта завершена в БУ </w:t>
      </w:r>
      <w:r w:rsidR="00B13827" w:rsidRPr="00294153">
        <w:rPr>
          <w:rFonts w:ascii="Times New Roman" w:hAnsi="Times New Roman"/>
          <w:sz w:val="28"/>
          <w:szCs w:val="28"/>
        </w:rPr>
        <w:t>автономного округа</w:t>
      </w:r>
      <w:r w:rsidRPr="00294153">
        <w:rPr>
          <w:rFonts w:ascii="Times New Roman" w:hAnsi="Times New Roman"/>
          <w:sz w:val="28"/>
          <w:szCs w:val="28"/>
        </w:rPr>
        <w:t xml:space="preserve"> </w:t>
      </w:r>
      <w:r w:rsidR="00B01627" w:rsidRPr="00294153">
        <w:rPr>
          <w:rFonts w:ascii="Times New Roman" w:hAnsi="Times New Roman"/>
          <w:sz w:val="28"/>
          <w:szCs w:val="28"/>
        </w:rPr>
        <w:t>«</w:t>
      </w:r>
      <w:r w:rsidRPr="00294153">
        <w:rPr>
          <w:rFonts w:ascii="Times New Roman" w:hAnsi="Times New Roman"/>
          <w:sz w:val="28"/>
          <w:szCs w:val="28"/>
        </w:rPr>
        <w:t>Нефтеюганская окружная клиническая больница имени В.И. Яцкив</w:t>
      </w:r>
      <w:r w:rsidR="00B01627" w:rsidRPr="00294153">
        <w:rPr>
          <w:rFonts w:ascii="Times New Roman" w:hAnsi="Times New Roman"/>
          <w:sz w:val="28"/>
          <w:szCs w:val="28"/>
        </w:rPr>
        <w:t>»</w:t>
      </w:r>
      <w:r w:rsidRPr="00294153">
        <w:rPr>
          <w:rFonts w:ascii="Times New Roman" w:hAnsi="Times New Roman"/>
          <w:sz w:val="28"/>
          <w:szCs w:val="28"/>
        </w:rPr>
        <w:t>,</w:t>
      </w:r>
      <w:r w:rsidR="00B13827" w:rsidRPr="00294153">
        <w:rPr>
          <w:rFonts w:ascii="Times New Roman" w:hAnsi="Times New Roman"/>
          <w:sz w:val="28"/>
          <w:szCs w:val="28"/>
        </w:rPr>
        <w:t xml:space="preserve">           </w:t>
      </w:r>
      <w:r w:rsidR="00B13827" w:rsidRPr="00294153">
        <w:rPr>
          <w:rFonts w:ascii="Times New Roman" w:hAnsi="Times New Roman"/>
          <w:sz w:val="28"/>
          <w:szCs w:val="28"/>
        </w:rPr>
        <w:br/>
      </w:r>
      <w:r w:rsidRPr="00294153">
        <w:rPr>
          <w:rFonts w:ascii="Times New Roman" w:hAnsi="Times New Roman"/>
          <w:sz w:val="28"/>
          <w:szCs w:val="28"/>
        </w:rPr>
        <w:t xml:space="preserve"> г. Нефтеюганск со следующими результатами: повышена производительность исследуемых процессов на 8 %; повышена удовлетворенность предоставляемой медицинской помощи пациентам; повышена скорость обслуживания пациентов (на 3 человека).</w:t>
      </w:r>
    </w:p>
    <w:p w14:paraId="71673581" w14:textId="77777777" w:rsidR="00752D81" w:rsidRPr="00294153" w:rsidRDefault="00752D81" w:rsidP="00294153">
      <w:pPr>
        <w:pStyle w:val="a3"/>
        <w:tabs>
          <w:tab w:val="left" w:pos="284"/>
        </w:tabs>
        <w:spacing w:after="0" w:line="360" w:lineRule="auto"/>
        <w:ind w:left="0" w:firstLine="567"/>
        <w:jc w:val="both"/>
        <w:rPr>
          <w:rFonts w:ascii="Times New Roman" w:hAnsi="Times New Roman"/>
          <w:sz w:val="28"/>
          <w:szCs w:val="28"/>
        </w:rPr>
      </w:pPr>
      <w:r w:rsidRPr="00294153">
        <w:rPr>
          <w:rFonts w:ascii="Times New Roman" w:hAnsi="Times New Roman"/>
          <w:sz w:val="28"/>
          <w:szCs w:val="28"/>
        </w:rPr>
        <w:tab/>
        <w:t xml:space="preserve">ООО </w:t>
      </w:r>
      <w:r w:rsidR="00B01627" w:rsidRPr="00294153">
        <w:rPr>
          <w:rFonts w:ascii="Times New Roman" w:hAnsi="Times New Roman"/>
          <w:sz w:val="28"/>
          <w:szCs w:val="28"/>
        </w:rPr>
        <w:t>«</w:t>
      </w:r>
      <w:r w:rsidRPr="00294153">
        <w:rPr>
          <w:rFonts w:ascii="Times New Roman" w:hAnsi="Times New Roman"/>
          <w:sz w:val="28"/>
          <w:szCs w:val="28"/>
        </w:rPr>
        <w:t xml:space="preserve">НРКК </w:t>
      </w:r>
      <w:r w:rsidR="00B01627" w:rsidRPr="00294153">
        <w:rPr>
          <w:rFonts w:ascii="Times New Roman" w:hAnsi="Times New Roman"/>
          <w:sz w:val="28"/>
          <w:szCs w:val="28"/>
        </w:rPr>
        <w:t>«</w:t>
      </w:r>
      <w:r w:rsidRPr="00294153">
        <w:rPr>
          <w:rFonts w:ascii="Times New Roman" w:hAnsi="Times New Roman"/>
          <w:sz w:val="28"/>
          <w:szCs w:val="28"/>
        </w:rPr>
        <w:t>Санта-Мария</w:t>
      </w:r>
      <w:r w:rsidR="00B01627" w:rsidRPr="00294153">
        <w:rPr>
          <w:rFonts w:ascii="Times New Roman" w:hAnsi="Times New Roman"/>
          <w:sz w:val="28"/>
          <w:szCs w:val="28"/>
        </w:rPr>
        <w:t>»</w:t>
      </w:r>
      <w:r w:rsidRPr="00294153">
        <w:rPr>
          <w:rFonts w:ascii="Times New Roman" w:hAnsi="Times New Roman"/>
          <w:sz w:val="28"/>
          <w:szCs w:val="28"/>
        </w:rPr>
        <w:t xml:space="preserve">, г. Нижневартовск достиг следующих результатов при реализации проекта </w:t>
      </w:r>
      <w:r w:rsidR="00B01627" w:rsidRPr="00294153">
        <w:rPr>
          <w:rFonts w:ascii="Times New Roman" w:hAnsi="Times New Roman"/>
          <w:sz w:val="28"/>
          <w:szCs w:val="28"/>
        </w:rPr>
        <w:t>«</w:t>
      </w:r>
      <w:r w:rsidRPr="00294153">
        <w:rPr>
          <w:rFonts w:ascii="Times New Roman" w:hAnsi="Times New Roman"/>
          <w:sz w:val="28"/>
          <w:szCs w:val="28"/>
        </w:rPr>
        <w:t>Развитие экспортно-ориентированных производств в ХМАО-Югре</w:t>
      </w:r>
      <w:r w:rsidR="00B01627" w:rsidRPr="00294153">
        <w:rPr>
          <w:rFonts w:ascii="Times New Roman" w:hAnsi="Times New Roman"/>
          <w:sz w:val="28"/>
          <w:szCs w:val="28"/>
        </w:rPr>
        <w:t>»</w:t>
      </w:r>
      <w:r w:rsidRPr="00294153">
        <w:rPr>
          <w:rFonts w:ascii="Times New Roman" w:hAnsi="Times New Roman"/>
          <w:sz w:val="28"/>
          <w:szCs w:val="28"/>
        </w:rPr>
        <w:t>: снижено время протекания процесса упаковки консервной продукции на 54%, что привело к росту выработки на 92%. В связи с выполненными мероприятиями проекта объем незавершенного производства в исследуемом потоке снизился на 100%.</w:t>
      </w:r>
    </w:p>
    <w:p w14:paraId="1F7C8E93" w14:textId="77777777" w:rsidR="00752D81" w:rsidRPr="00294153" w:rsidRDefault="00752D81" w:rsidP="00752D81">
      <w:pPr>
        <w:tabs>
          <w:tab w:val="left" w:pos="284"/>
        </w:tabs>
        <w:spacing w:line="360" w:lineRule="auto"/>
        <w:ind w:firstLine="567"/>
        <w:contextualSpacing/>
        <w:jc w:val="both"/>
        <w:rPr>
          <w:rFonts w:ascii="Times New Roman" w:hAnsi="Times New Roman"/>
          <w:sz w:val="28"/>
          <w:szCs w:val="28"/>
        </w:rPr>
      </w:pPr>
      <w:r w:rsidRPr="00294153">
        <w:rPr>
          <w:rFonts w:ascii="Times New Roman" w:hAnsi="Times New Roman"/>
          <w:sz w:val="28"/>
          <w:szCs w:val="28"/>
        </w:rPr>
        <w:t xml:space="preserve">ООО </w:t>
      </w:r>
      <w:r w:rsidR="00B01627" w:rsidRPr="00294153">
        <w:rPr>
          <w:rFonts w:ascii="Times New Roman" w:hAnsi="Times New Roman"/>
          <w:sz w:val="28"/>
          <w:szCs w:val="28"/>
        </w:rPr>
        <w:t>«</w:t>
      </w:r>
      <w:r w:rsidRPr="00294153">
        <w:rPr>
          <w:rFonts w:ascii="Times New Roman" w:hAnsi="Times New Roman"/>
          <w:sz w:val="28"/>
          <w:szCs w:val="28"/>
        </w:rPr>
        <w:t xml:space="preserve">ЛПК </w:t>
      </w:r>
      <w:r w:rsidR="00B01627" w:rsidRPr="00294153">
        <w:rPr>
          <w:rFonts w:ascii="Times New Roman" w:hAnsi="Times New Roman"/>
          <w:sz w:val="28"/>
          <w:szCs w:val="28"/>
        </w:rPr>
        <w:t>«</w:t>
      </w:r>
      <w:r w:rsidRPr="00294153">
        <w:rPr>
          <w:rFonts w:ascii="Times New Roman" w:hAnsi="Times New Roman"/>
          <w:sz w:val="28"/>
          <w:szCs w:val="28"/>
        </w:rPr>
        <w:t>АСЛАН</w:t>
      </w:r>
      <w:r w:rsidR="00B01627" w:rsidRPr="00294153">
        <w:rPr>
          <w:rFonts w:ascii="Times New Roman" w:hAnsi="Times New Roman"/>
          <w:sz w:val="28"/>
          <w:szCs w:val="28"/>
        </w:rPr>
        <w:t>»</w:t>
      </w:r>
      <w:r w:rsidRPr="00294153">
        <w:rPr>
          <w:rFonts w:ascii="Times New Roman" w:hAnsi="Times New Roman"/>
          <w:sz w:val="28"/>
          <w:szCs w:val="28"/>
        </w:rPr>
        <w:t xml:space="preserve"> добился следующих результатов: на 15% сократилось время протекания процесса </w:t>
      </w:r>
      <w:r w:rsidR="00B01627" w:rsidRPr="00294153">
        <w:rPr>
          <w:rFonts w:ascii="Times New Roman" w:hAnsi="Times New Roman"/>
          <w:sz w:val="28"/>
          <w:szCs w:val="28"/>
        </w:rPr>
        <w:t>«</w:t>
      </w:r>
      <w:r w:rsidRPr="00294153">
        <w:rPr>
          <w:rFonts w:ascii="Times New Roman" w:hAnsi="Times New Roman"/>
          <w:sz w:val="28"/>
          <w:szCs w:val="28"/>
        </w:rPr>
        <w:t>производство досок</w:t>
      </w:r>
      <w:r w:rsidR="00B01627" w:rsidRPr="00294153">
        <w:rPr>
          <w:rFonts w:ascii="Times New Roman" w:hAnsi="Times New Roman"/>
          <w:sz w:val="28"/>
          <w:szCs w:val="28"/>
        </w:rPr>
        <w:t>»</w:t>
      </w:r>
      <w:r w:rsidRPr="00294153">
        <w:rPr>
          <w:rFonts w:ascii="Times New Roman" w:hAnsi="Times New Roman"/>
          <w:sz w:val="28"/>
          <w:szCs w:val="28"/>
        </w:rPr>
        <w:t>. Прирост выработки составил 52%. Запасы в потоке уменьшились на 100%.</w:t>
      </w:r>
    </w:p>
    <w:p w14:paraId="087668DC" w14:textId="77777777" w:rsidR="00A173B4" w:rsidRPr="00294153" w:rsidRDefault="00A173B4" w:rsidP="002339BC">
      <w:pPr>
        <w:pStyle w:val="a3"/>
        <w:spacing w:after="120" w:line="360" w:lineRule="auto"/>
        <w:ind w:left="0" w:firstLine="709"/>
        <w:contextualSpacing w:val="0"/>
        <w:jc w:val="both"/>
        <w:outlineLvl w:val="1"/>
        <w:rPr>
          <w:rFonts w:ascii="Times New Roman" w:hAnsi="Times New Roman" w:cs="Times New Roman"/>
          <w:b/>
          <w:bCs/>
          <w:sz w:val="28"/>
          <w:szCs w:val="28"/>
        </w:rPr>
      </w:pPr>
      <w:r w:rsidRPr="00294153">
        <w:rPr>
          <w:rFonts w:ascii="Times New Roman" w:hAnsi="Times New Roman" w:cs="Times New Roman"/>
          <w:b/>
          <w:bCs/>
          <w:sz w:val="28"/>
          <w:szCs w:val="28"/>
        </w:rPr>
        <w:t>Перспективные стратегические направления развития</w:t>
      </w:r>
      <w:bookmarkEnd w:id="6"/>
      <w:r w:rsidR="002339BC" w:rsidRPr="00294153">
        <w:rPr>
          <w:rFonts w:ascii="Times New Roman" w:hAnsi="Times New Roman" w:cs="Times New Roman"/>
          <w:b/>
          <w:bCs/>
          <w:sz w:val="28"/>
          <w:szCs w:val="28"/>
        </w:rPr>
        <w:t xml:space="preserve"> Фонда развития Югры</w:t>
      </w:r>
      <w:r w:rsidRPr="00294153">
        <w:rPr>
          <w:rFonts w:ascii="Times New Roman" w:hAnsi="Times New Roman" w:cs="Times New Roman"/>
          <w:b/>
          <w:bCs/>
          <w:sz w:val="28"/>
          <w:szCs w:val="28"/>
        </w:rPr>
        <w:t>:</w:t>
      </w:r>
    </w:p>
    <w:p w14:paraId="41A17007" w14:textId="77777777" w:rsidR="00050040" w:rsidRPr="00294153" w:rsidRDefault="00050040" w:rsidP="007F53DD">
      <w:pPr>
        <w:pStyle w:val="a3"/>
        <w:numPr>
          <w:ilvl w:val="0"/>
          <w:numId w:val="3"/>
        </w:numPr>
        <w:tabs>
          <w:tab w:val="left" w:pos="1134"/>
        </w:tabs>
        <w:spacing w:after="12" w:line="360" w:lineRule="auto"/>
        <w:ind w:left="0" w:firstLine="709"/>
        <w:contextualSpacing w:val="0"/>
        <w:jc w:val="both"/>
        <w:outlineLvl w:val="1"/>
        <w:rPr>
          <w:rFonts w:ascii="Times New Roman" w:hAnsi="Times New Roman" w:cs="Times New Roman"/>
          <w:bCs/>
          <w:sz w:val="28"/>
          <w:szCs w:val="28"/>
        </w:rPr>
      </w:pPr>
      <w:r w:rsidRPr="00294153">
        <w:rPr>
          <w:rFonts w:ascii="Times New Roman" w:hAnsi="Times New Roman" w:cs="Times New Roman"/>
          <w:bCs/>
          <w:sz w:val="28"/>
          <w:szCs w:val="28"/>
        </w:rPr>
        <w:t>Привлечение резидентов (Арктическая зона, Особая экономическая зона г. Нягань);</w:t>
      </w:r>
    </w:p>
    <w:p w14:paraId="6953878B" w14:textId="77777777" w:rsidR="00050040" w:rsidRPr="00294153" w:rsidRDefault="00050040" w:rsidP="007F53DD">
      <w:pPr>
        <w:pStyle w:val="a3"/>
        <w:numPr>
          <w:ilvl w:val="0"/>
          <w:numId w:val="3"/>
        </w:numPr>
        <w:tabs>
          <w:tab w:val="left" w:pos="1134"/>
        </w:tabs>
        <w:spacing w:after="12" w:line="360" w:lineRule="auto"/>
        <w:ind w:left="0" w:firstLine="709"/>
        <w:contextualSpacing w:val="0"/>
        <w:jc w:val="both"/>
        <w:outlineLvl w:val="1"/>
        <w:rPr>
          <w:rFonts w:ascii="Times New Roman" w:hAnsi="Times New Roman" w:cs="Times New Roman"/>
          <w:bCs/>
          <w:sz w:val="28"/>
          <w:szCs w:val="28"/>
        </w:rPr>
      </w:pPr>
      <w:r w:rsidRPr="00294153">
        <w:rPr>
          <w:rFonts w:ascii="Times New Roman" w:hAnsi="Times New Roman" w:cs="Times New Roman"/>
          <w:bCs/>
          <w:sz w:val="28"/>
          <w:szCs w:val="28"/>
        </w:rPr>
        <w:t>Финансовая поддержка инвестиционных проектов (льготное финансирование</w:t>
      </w:r>
      <w:r w:rsidR="001820D1">
        <w:rPr>
          <w:rFonts w:ascii="Times New Roman" w:hAnsi="Times New Roman" w:cs="Times New Roman"/>
          <w:bCs/>
          <w:sz w:val="28"/>
          <w:szCs w:val="28"/>
        </w:rPr>
        <w:t>)</w:t>
      </w:r>
      <w:r w:rsidRPr="00294153">
        <w:rPr>
          <w:rFonts w:ascii="Times New Roman" w:hAnsi="Times New Roman" w:cs="Times New Roman"/>
          <w:bCs/>
          <w:sz w:val="28"/>
          <w:szCs w:val="28"/>
        </w:rPr>
        <w:t>;</w:t>
      </w:r>
    </w:p>
    <w:p w14:paraId="7FC8CBFB" w14:textId="5D85BE72" w:rsidR="00F06B65" w:rsidRPr="00F06B65" w:rsidRDefault="00050040" w:rsidP="007F53DD">
      <w:pPr>
        <w:pStyle w:val="a3"/>
        <w:numPr>
          <w:ilvl w:val="0"/>
          <w:numId w:val="3"/>
        </w:numPr>
        <w:tabs>
          <w:tab w:val="left" w:pos="1134"/>
        </w:tabs>
        <w:spacing w:after="12" w:line="360" w:lineRule="auto"/>
        <w:ind w:left="0" w:firstLine="709"/>
        <w:contextualSpacing w:val="0"/>
        <w:jc w:val="both"/>
        <w:outlineLvl w:val="1"/>
        <w:rPr>
          <w:rFonts w:ascii="Times New Roman" w:hAnsi="Times New Roman" w:cs="Times New Roman"/>
          <w:bCs/>
          <w:sz w:val="28"/>
          <w:szCs w:val="28"/>
        </w:rPr>
      </w:pPr>
      <w:r w:rsidRPr="00294153">
        <w:rPr>
          <w:rFonts w:ascii="Times New Roman" w:hAnsi="Times New Roman" w:cs="Times New Roman"/>
          <w:bCs/>
          <w:sz w:val="28"/>
          <w:szCs w:val="28"/>
        </w:rPr>
        <w:lastRenderedPageBreak/>
        <w:t xml:space="preserve">Развитие </w:t>
      </w:r>
      <w:r w:rsidRPr="00F06B65">
        <w:rPr>
          <w:rFonts w:ascii="Times New Roman" w:hAnsi="Times New Roman" w:cs="Times New Roman"/>
          <w:bCs/>
          <w:sz w:val="28"/>
          <w:szCs w:val="28"/>
        </w:rPr>
        <w:t>туристической инфраструктуры</w:t>
      </w:r>
      <w:r w:rsidR="00F06B65" w:rsidRPr="00F06B65">
        <w:rPr>
          <w:rFonts w:ascii="Times New Roman" w:hAnsi="Times New Roman" w:cs="Times New Roman"/>
          <w:bCs/>
          <w:sz w:val="28"/>
          <w:szCs w:val="28"/>
        </w:rPr>
        <w:t>;</w:t>
      </w:r>
      <w:r w:rsidRPr="00F06B65">
        <w:rPr>
          <w:rFonts w:ascii="Times New Roman" w:hAnsi="Times New Roman" w:cs="Times New Roman"/>
          <w:bCs/>
          <w:sz w:val="28"/>
          <w:szCs w:val="28"/>
        </w:rPr>
        <w:t xml:space="preserve"> </w:t>
      </w:r>
    </w:p>
    <w:p w14:paraId="4483D8E1" w14:textId="069B1BFE" w:rsidR="00050040" w:rsidRPr="00F06B65" w:rsidRDefault="00F06B65" w:rsidP="007F53DD">
      <w:pPr>
        <w:pStyle w:val="a3"/>
        <w:numPr>
          <w:ilvl w:val="0"/>
          <w:numId w:val="3"/>
        </w:numPr>
        <w:tabs>
          <w:tab w:val="left" w:pos="1134"/>
        </w:tabs>
        <w:spacing w:after="12" w:line="360" w:lineRule="auto"/>
        <w:ind w:left="0" w:firstLine="709"/>
        <w:contextualSpacing w:val="0"/>
        <w:jc w:val="both"/>
        <w:outlineLvl w:val="1"/>
        <w:rPr>
          <w:rFonts w:ascii="Times New Roman" w:hAnsi="Times New Roman" w:cs="Times New Roman"/>
          <w:bCs/>
          <w:sz w:val="28"/>
          <w:szCs w:val="28"/>
        </w:rPr>
      </w:pPr>
      <w:r w:rsidRPr="00F06B65">
        <w:rPr>
          <w:rFonts w:ascii="Times New Roman" w:hAnsi="Times New Roman" w:cs="Times New Roman"/>
          <w:bCs/>
          <w:sz w:val="28"/>
          <w:szCs w:val="28"/>
        </w:rPr>
        <w:t>Р</w:t>
      </w:r>
      <w:r w:rsidR="001820D1" w:rsidRPr="00F06B65">
        <w:rPr>
          <w:rFonts w:ascii="Times New Roman" w:hAnsi="Times New Roman" w:cs="Times New Roman"/>
          <w:bCs/>
          <w:sz w:val="28"/>
          <w:szCs w:val="28"/>
        </w:rPr>
        <w:t xml:space="preserve">азвитие </w:t>
      </w:r>
      <w:r w:rsidR="00050040" w:rsidRPr="00F06B65">
        <w:rPr>
          <w:rFonts w:ascii="Times New Roman" w:hAnsi="Times New Roman" w:cs="Times New Roman"/>
          <w:bCs/>
          <w:sz w:val="28"/>
          <w:szCs w:val="28"/>
        </w:rPr>
        <w:t>промышленной инфраструктуры с особыми условиями ведения предпринимательской деятельности (индустриальные парки/технопарки, особая экономическая зона);</w:t>
      </w:r>
    </w:p>
    <w:p w14:paraId="11241379" w14:textId="77777777" w:rsidR="00A173B4" w:rsidRPr="00294153" w:rsidRDefault="002339BC" w:rsidP="007F53DD">
      <w:pPr>
        <w:pStyle w:val="a3"/>
        <w:numPr>
          <w:ilvl w:val="0"/>
          <w:numId w:val="3"/>
        </w:numPr>
        <w:tabs>
          <w:tab w:val="left" w:pos="1134"/>
        </w:tabs>
        <w:spacing w:after="12" w:line="360" w:lineRule="auto"/>
        <w:ind w:left="0" w:firstLine="709"/>
        <w:contextualSpacing w:val="0"/>
        <w:jc w:val="both"/>
        <w:outlineLvl w:val="1"/>
        <w:rPr>
          <w:rFonts w:ascii="Times New Roman" w:hAnsi="Times New Roman" w:cs="Times New Roman"/>
          <w:bCs/>
          <w:sz w:val="28"/>
          <w:szCs w:val="28"/>
        </w:rPr>
      </w:pPr>
      <w:r w:rsidRPr="00F06B65">
        <w:rPr>
          <w:rFonts w:ascii="Times New Roman" w:hAnsi="Times New Roman" w:cs="Times New Roman"/>
          <w:bCs/>
          <w:sz w:val="28"/>
          <w:szCs w:val="28"/>
        </w:rPr>
        <w:t xml:space="preserve">Развитие </w:t>
      </w:r>
      <w:r w:rsidR="00886E16" w:rsidRPr="00F06B65">
        <w:rPr>
          <w:rFonts w:ascii="Times New Roman" w:hAnsi="Times New Roman" w:cs="Times New Roman"/>
          <w:bCs/>
          <w:sz w:val="28"/>
          <w:szCs w:val="28"/>
        </w:rPr>
        <w:t>информационных</w:t>
      </w:r>
      <w:r w:rsidR="00886E16" w:rsidRPr="00294153">
        <w:rPr>
          <w:rFonts w:ascii="Times New Roman" w:hAnsi="Times New Roman" w:cs="Times New Roman"/>
          <w:bCs/>
          <w:sz w:val="28"/>
          <w:szCs w:val="28"/>
        </w:rPr>
        <w:t xml:space="preserve"> ресурсов/систем в сети интернет: </w:t>
      </w:r>
      <w:r w:rsidR="00EA2FB5" w:rsidRPr="00294153">
        <w:rPr>
          <w:rFonts w:ascii="Times New Roman" w:hAnsi="Times New Roman" w:cs="Times New Roman"/>
          <w:bCs/>
          <w:sz w:val="28"/>
          <w:szCs w:val="28"/>
        </w:rPr>
        <w:t>Инвестиционная карта Югры, Инвестиционный портал Югры</w:t>
      </w:r>
      <w:r w:rsidR="00050040" w:rsidRPr="00294153">
        <w:rPr>
          <w:rFonts w:ascii="Times New Roman" w:hAnsi="Times New Roman" w:cs="Times New Roman"/>
          <w:bCs/>
          <w:sz w:val="28"/>
          <w:szCs w:val="28"/>
        </w:rPr>
        <w:t xml:space="preserve">, </w:t>
      </w:r>
      <w:r w:rsidR="00613D3F" w:rsidRPr="00294153">
        <w:rPr>
          <w:rFonts w:ascii="Times New Roman" w:hAnsi="Times New Roman" w:cs="Times New Roman"/>
          <w:bCs/>
          <w:sz w:val="28"/>
          <w:szCs w:val="28"/>
        </w:rPr>
        <w:t>Е</w:t>
      </w:r>
      <w:r w:rsidR="00050040" w:rsidRPr="00294153">
        <w:rPr>
          <w:rFonts w:ascii="Times New Roman" w:hAnsi="Times New Roman" w:cs="Times New Roman"/>
          <w:bCs/>
          <w:sz w:val="28"/>
          <w:szCs w:val="28"/>
        </w:rPr>
        <w:t>дин</w:t>
      </w:r>
      <w:r w:rsidR="00B13827" w:rsidRPr="00294153">
        <w:rPr>
          <w:rFonts w:ascii="Times New Roman" w:hAnsi="Times New Roman" w:cs="Times New Roman"/>
          <w:bCs/>
          <w:sz w:val="28"/>
          <w:szCs w:val="28"/>
        </w:rPr>
        <w:t>ая</w:t>
      </w:r>
      <w:r w:rsidR="00050040" w:rsidRPr="00294153">
        <w:rPr>
          <w:rFonts w:ascii="Times New Roman" w:hAnsi="Times New Roman" w:cs="Times New Roman"/>
          <w:bCs/>
          <w:sz w:val="28"/>
          <w:szCs w:val="28"/>
        </w:rPr>
        <w:t xml:space="preserve"> цифров</w:t>
      </w:r>
      <w:r w:rsidR="00B13827" w:rsidRPr="00294153">
        <w:rPr>
          <w:rFonts w:ascii="Times New Roman" w:hAnsi="Times New Roman" w:cs="Times New Roman"/>
          <w:bCs/>
          <w:sz w:val="28"/>
          <w:szCs w:val="28"/>
        </w:rPr>
        <w:t>ая</w:t>
      </w:r>
      <w:r w:rsidR="00050040" w:rsidRPr="00294153">
        <w:rPr>
          <w:rFonts w:ascii="Times New Roman" w:hAnsi="Times New Roman" w:cs="Times New Roman"/>
          <w:bCs/>
          <w:sz w:val="28"/>
          <w:szCs w:val="28"/>
        </w:rPr>
        <w:t xml:space="preserve"> туристическ</w:t>
      </w:r>
      <w:r w:rsidR="00B13827" w:rsidRPr="00294153">
        <w:rPr>
          <w:rFonts w:ascii="Times New Roman" w:hAnsi="Times New Roman" w:cs="Times New Roman"/>
          <w:bCs/>
          <w:sz w:val="28"/>
          <w:szCs w:val="28"/>
        </w:rPr>
        <w:t>ая</w:t>
      </w:r>
      <w:r w:rsidR="00050040" w:rsidRPr="00294153">
        <w:rPr>
          <w:rFonts w:ascii="Times New Roman" w:hAnsi="Times New Roman" w:cs="Times New Roman"/>
          <w:bCs/>
          <w:sz w:val="28"/>
          <w:szCs w:val="28"/>
        </w:rPr>
        <w:t xml:space="preserve"> платформ</w:t>
      </w:r>
      <w:r w:rsidR="00B13827" w:rsidRPr="00294153">
        <w:rPr>
          <w:rFonts w:ascii="Times New Roman" w:hAnsi="Times New Roman" w:cs="Times New Roman"/>
          <w:bCs/>
          <w:sz w:val="28"/>
          <w:szCs w:val="28"/>
        </w:rPr>
        <w:t>а</w:t>
      </w:r>
      <w:r w:rsidR="00050040" w:rsidRPr="00294153">
        <w:rPr>
          <w:rFonts w:ascii="Times New Roman" w:hAnsi="Times New Roman" w:cs="Times New Roman"/>
          <w:bCs/>
          <w:sz w:val="28"/>
          <w:szCs w:val="28"/>
        </w:rPr>
        <w:t xml:space="preserve"> VisitUgra</w:t>
      </w:r>
      <w:r w:rsidR="00A173B4" w:rsidRPr="00294153">
        <w:rPr>
          <w:rFonts w:ascii="Times New Roman" w:hAnsi="Times New Roman" w:cs="Times New Roman"/>
          <w:bCs/>
          <w:sz w:val="28"/>
          <w:szCs w:val="28"/>
        </w:rPr>
        <w:t>;</w:t>
      </w:r>
    </w:p>
    <w:p w14:paraId="300BB35E" w14:textId="77777777" w:rsidR="00050040" w:rsidRPr="00294153" w:rsidRDefault="00050040" w:rsidP="007F53DD">
      <w:pPr>
        <w:pStyle w:val="a3"/>
        <w:numPr>
          <w:ilvl w:val="0"/>
          <w:numId w:val="3"/>
        </w:numPr>
        <w:tabs>
          <w:tab w:val="left" w:pos="1134"/>
        </w:tabs>
        <w:spacing w:after="12" w:line="360" w:lineRule="auto"/>
        <w:ind w:left="0" w:firstLine="709"/>
        <w:contextualSpacing w:val="0"/>
        <w:jc w:val="both"/>
        <w:outlineLvl w:val="1"/>
        <w:rPr>
          <w:rFonts w:ascii="Times New Roman" w:hAnsi="Times New Roman" w:cs="Times New Roman"/>
          <w:bCs/>
          <w:sz w:val="28"/>
          <w:szCs w:val="28"/>
        </w:rPr>
      </w:pPr>
      <w:r w:rsidRPr="00294153">
        <w:rPr>
          <w:rFonts w:ascii="Times New Roman" w:hAnsi="Times New Roman" w:cs="Times New Roman"/>
          <w:bCs/>
          <w:sz w:val="28"/>
          <w:szCs w:val="28"/>
        </w:rPr>
        <w:t>Организация и проведение выставок-ярмарок югорских товаропроизводителей;</w:t>
      </w:r>
    </w:p>
    <w:p w14:paraId="4BECEFA5" w14:textId="77777777" w:rsidR="007F2273" w:rsidRPr="00294153" w:rsidRDefault="007F2273" w:rsidP="007F2273">
      <w:pPr>
        <w:pStyle w:val="a3"/>
        <w:numPr>
          <w:ilvl w:val="0"/>
          <w:numId w:val="3"/>
        </w:numPr>
        <w:tabs>
          <w:tab w:val="left" w:pos="1134"/>
        </w:tabs>
        <w:spacing w:after="120" w:line="360" w:lineRule="auto"/>
        <w:ind w:left="0" w:firstLine="709"/>
        <w:jc w:val="both"/>
        <w:rPr>
          <w:rFonts w:ascii="Times New Roman" w:hAnsi="Times New Roman" w:cs="Times New Roman"/>
          <w:sz w:val="28"/>
          <w:szCs w:val="28"/>
        </w:rPr>
      </w:pPr>
      <w:r w:rsidRPr="00294153">
        <w:rPr>
          <w:rFonts w:ascii="Times New Roman" w:hAnsi="Times New Roman" w:cs="Times New Roman"/>
          <w:bCs/>
          <w:sz w:val="28"/>
          <w:szCs w:val="28"/>
        </w:rPr>
        <w:t>Формирование команды региона в сфере привлечения инвестиций и работы с инвесторами.</w:t>
      </w:r>
      <w:r w:rsidRPr="00294153">
        <w:rPr>
          <w:rFonts w:ascii="Times New Roman" w:hAnsi="Times New Roman" w:cs="Times New Roman"/>
          <w:sz w:val="28"/>
          <w:szCs w:val="28"/>
        </w:rPr>
        <w:t xml:space="preserve"> </w:t>
      </w:r>
    </w:p>
    <w:p w14:paraId="5BB26641" w14:textId="77777777" w:rsidR="00AF234B" w:rsidRPr="00050040" w:rsidRDefault="00AF234B" w:rsidP="00050040">
      <w:pPr>
        <w:pStyle w:val="a3"/>
        <w:tabs>
          <w:tab w:val="left" w:pos="1134"/>
        </w:tabs>
        <w:spacing w:after="120" w:line="360" w:lineRule="auto"/>
        <w:ind w:left="709"/>
        <w:jc w:val="both"/>
        <w:rPr>
          <w:rFonts w:ascii="Times New Roman" w:hAnsi="Times New Roman" w:cs="Times New Roman"/>
          <w:strike/>
          <w:sz w:val="28"/>
          <w:szCs w:val="28"/>
        </w:rPr>
      </w:pPr>
    </w:p>
    <w:sectPr w:rsidR="00AF234B" w:rsidRPr="00050040" w:rsidSect="00AC3CEA">
      <w:headerReference w:type="default" r:id="rId11"/>
      <w:foot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379A3" w14:textId="77777777" w:rsidR="00450A78" w:rsidRDefault="00450A78" w:rsidP="00C52367">
      <w:pPr>
        <w:spacing w:after="0" w:line="240" w:lineRule="auto"/>
      </w:pPr>
      <w:r>
        <w:separator/>
      </w:r>
    </w:p>
  </w:endnote>
  <w:endnote w:type="continuationSeparator" w:id="0">
    <w:p w14:paraId="1968F2E1" w14:textId="77777777" w:rsidR="00450A78" w:rsidRDefault="00450A78" w:rsidP="00C52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charset w:val="CC"/>
    <w:family w:val="roman"/>
    <w:pitch w:val="variable"/>
    <w:sig w:usb0="A00002EF" w:usb1="5000204B" w:usb2="00000020" w:usb3="00000000" w:csb0="00000097"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538020"/>
      <w:docPartObj>
        <w:docPartGallery w:val="Page Numbers (Bottom of Page)"/>
        <w:docPartUnique/>
      </w:docPartObj>
    </w:sdtPr>
    <w:sdtEndPr/>
    <w:sdtContent>
      <w:p w14:paraId="5896E364" w14:textId="1D17F295" w:rsidR="00B01627" w:rsidRDefault="00B01627">
        <w:pPr>
          <w:pStyle w:val="a7"/>
          <w:jc w:val="right"/>
        </w:pPr>
        <w:r>
          <w:fldChar w:fldCharType="begin"/>
        </w:r>
        <w:r>
          <w:instrText>PAGE   \* MERGEFORMAT</w:instrText>
        </w:r>
        <w:r>
          <w:fldChar w:fldCharType="separate"/>
        </w:r>
        <w:r w:rsidR="00D63BD5">
          <w:rPr>
            <w:noProof/>
          </w:rPr>
          <w:t>2</w:t>
        </w:r>
        <w:r>
          <w:fldChar w:fldCharType="end"/>
        </w:r>
      </w:p>
    </w:sdtContent>
  </w:sdt>
  <w:p w14:paraId="2F9E60A6" w14:textId="77777777" w:rsidR="00B01627" w:rsidRDefault="00B0162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A0C87" w14:textId="77777777" w:rsidR="00450A78" w:rsidRDefault="00450A78" w:rsidP="00C52367">
      <w:pPr>
        <w:spacing w:after="0" w:line="240" w:lineRule="auto"/>
      </w:pPr>
      <w:r>
        <w:separator/>
      </w:r>
    </w:p>
  </w:footnote>
  <w:footnote w:type="continuationSeparator" w:id="0">
    <w:p w14:paraId="5C10E69C" w14:textId="77777777" w:rsidR="00450A78" w:rsidRDefault="00450A78" w:rsidP="00C523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590F5" w14:textId="77777777" w:rsidR="00B01627" w:rsidRDefault="00B01627" w:rsidP="00CE24CC">
    <w:pPr>
      <w:pStyle w:val="a5"/>
    </w:pPr>
  </w:p>
  <w:p w14:paraId="6466E70F" w14:textId="77777777" w:rsidR="00B01627" w:rsidRDefault="00B0162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353E8"/>
    <w:multiLevelType w:val="hybridMultilevel"/>
    <w:tmpl w:val="45F8C4CA"/>
    <w:lvl w:ilvl="0" w:tplc="B31839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15A2349"/>
    <w:multiLevelType w:val="multilevel"/>
    <w:tmpl w:val="BDCCAF40"/>
    <w:lvl w:ilvl="0">
      <w:start w:val="1"/>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21F62300"/>
    <w:multiLevelType w:val="hybridMultilevel"/>
    <w:tmpl w:val="C0701BB2"/>
    <w:lvl w:ilvl="0" w:tplc="24C4F320">
      <w:start w:val="1"/>
      <w:numFmt w:val="bullet"/>
      <w:lvlText w:val=""/>
      <w:lvlJc w:val="left"/>
      <w:pPr>
        <w:ind w:left="295" w:hanging="360"/>
      </w:pPr>
      <w:rPr>
        <w:rFonts w:ascii="Symbol" w:hAnsi="Symbol" w:hint="default"/>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3" w15:restartNumberingAfterBreak="0">
    <w:nsid w:val="26293D45"/>
    <w:multiLevelType w:val="hybridMultilevel"/>
    <w:tmpl w:val="F6244EB6"/>
    <w:lvl w:ilvl="0" w:tplc="0419000F">
      <w:start w:val="1"/>
      <w:numFmt w:val="decimal"/>
      <w:lvlText w:val="%1."/>
      <w:lvlJc w:val="left"/>
      <w:pPr>
        <w:ind w:left="720" w:hanging="360"/>
      </w:pPr>
    </w:lvl>
    <w:lvl w:ilvl="1" w:tplc="BF629490">
      <w:start w:val="2"/>
      <w:numFmt w:val="decimal"/>
      <w:lvlText w:val="1.%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9960A42"/>
    <w:multiLevelType w:val="hybridMultilevel"/>
    <w:tmpl w:val="93940278"/>
    <w:lvl w:ilvl="0" w:tplc="B31839F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2F26754B"/>
    <w:multiLevelType w:val="multilevel"/>
    <w:tmpl w:val="60309B74"/>
    <w:lvl w:ilvl="0">
      <w:start w:val="1"/>
      <w:numFmt w:val="decimal"/>
      <w:lvlText w:val="%1."/>
      <w:lvlJc w:val="left"/>
      <w:pPr>
        <w:ind w:left="1069" w:hanging="360"/>
      </w:pPr>
      <w:rPr>
        <w:rFonts w:hint="default"/>
      </w:rPr>
    </w:lvl>
    <w:lvl w:ilvl="1">
      <w:start w:val="10"/>
      <w:numFmt w:val="decimal"/>
      <w:isLgl/>
      <w:lvlText w:val="%1.%2"/>
      <w:lvlJc w:val="left"/>
      <w:pPr>
        <w:ind w:left="1245" w:hanging="525"/>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6" w15:restartNumberingAfterBreak="0">
    <w:nsid w:val="33BD08E9"/>
    <w:multiLevelType w:val="hybridMultilevel"/>
    <w:tmpl w:val="19DEBCAC"/>
    <w:lvl w:ilvl="0" w:tplc="B31839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B40447"/>
    <w:multiLevelType w:val="hybridMultilevel"/>
    <w:tmpl w:val="4BF0CE8E"/>
    <w:lvl w:ilvl="0" w:tplc="78420126">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8" w15:restartNumberingAfterBreak="0">
    <w:nsid w:val="50B61852"/>
    <w:multiLevelType w:val="hybridMultilevel"/>
    <w:tmpl w:val="4A980BEA"/>
    <w:lvl w:ilvl="0" w:tplc="DE5889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67DB10CF"/>
    <w:multiLevelType w:val="hybridMultilevel"/>
    <w:tmpl w:val="136C87B8"/>
    <w:lvl w:ilvl="0" w:tplc="C2FCEB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D880CC7"/>
    <w:multiLevelType w:val="hybridMultilevel"/>
    <w:tmpl w:val="34B458B6"/>
    <w:lvl w:ilvl="0" w:tplc="B31839F6">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2"/>
  </w:num>
  <w:num w:numId="3">
    <w:abstractNumId w:val="9"/>
  </w:num>
  <w:num w:numId="4">
    <w:abstractNumId w:val="10"/>
  </w:num>
  <w:num w:numId="5">
    <w:abstractNumId w:val="5"/>
  </w:num>
  <w:num w:numId="6">
    <w:abstractNumId w:val="0"/>
  </w:num>
  <w:num w:numId="7">
    <w:abstractNumId w:val="6"/>
  </w:num>
  <w:num w:numId="8">
    <w:abstractNumId w:val="6"/>
  </w:num>
  <w:num w:numId="9">
    <w:abstractNumId w:val="0"/>
  </w:num>
  <w:num w:numId="10">
    <w:abstractNumId w:val="4"/>
  </w:num>
  <w:num w:numId="11">
    <w:abstractNumId w:val="7"/>
  </w:num>
  <w:num w:numId="1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90"/>
    <w:rsid w:val="00022177"/>
    <w:rsid w:val="00026A05"/>
    <w:rsid w:val="00031689"/>
    <w:rsid w:val="00041B01"/>
    <w:rsid w:val="0004547E"/>
    <w:rsid w:val="0004720A"/>
    <w:rsid w:val="00047D03"/>
    <w:rsid w:val="00050040"/>
    <w:rsid w:val="00051B50"/>
    <w:rsid w:val="000543EC"/>
    <w:rsid w:val="00054BA6"/>
    <w:rsid w:val="00064AD7"/>
    <w:rsid w:val="00085910"/>
    <w:rsid w:val="000A5057"/>
    <w:rsid w:val="000A5516"/>
    <w:rsid w:val="000B503E"/>
    <w:rsid w:val="000C0728"/>
    <w:rsid w:val="000C1BE1"/>
    <w:rsid w:val="000C1C04"/>
    <w:rsid w:val="000C5121"/>
    <w:rsid w:val="000D55D4"/>
    <w:rsid w:val="000E1909"/>
    <w:rsid w:val="000F44EB"/>
    <w:rsid w:val="0010377A"/>
    <w:rsid w:val="00104EC3"/>
    <w:rsid w:val="00110E63"/>
    <w:rsid w:val="00115C84"/>
    <w:rsid w:val="00122AAF"/>
    <w:rsid w:val="001552FC"/>
    <w:rsid w:val="00162600"/>
    <w:rsid w:val="00165D19"/>
    <w:rsid w:val="00166DD0"/>
    <w:rsid w:val="00167222"/>
    <w:rsid w:val="00177130"/>
    <w:rsid w:val="001805C1"/>
    <w:rsid w:val="0018081A"/>
    <w:rsid w:val="001820D1"/>
    <w:rsid w:val="00193E00"/>
    <w:rsid w:val="001A57FE"/>
    <w:rsid w:val="001B1402"/>
    <w:rsid w:val="001C709F"/>
    <w:rsid w:val="001E018D"/>
    <w:rsid w:val="001E6D8B"/>
    <w:rsid w:val="001F4C98"/>
    <w:rsid w:val="00205169"/>
    <w:rsid w:val="00210088"/>
    <w:rsid w:val="00210FDE"/>
    <w:rsid w:val="00211C84"/>
    <w:rsid w:val="002128FE"/>
    <w:rsid w:val="00220B20"/>
    <w:rsid w:val="00224B8C"/>
    <w:rsid w:val="00230C7B"/>
    <w:rsid w:val="00233819"/>
    <w:rsid w:val="002339BC"/>
    <w:rsid w:val="0023649E"/>
    <w:rsid w:val="00240594"/>
    <w:rsid w:val="002467B9"/>
    <w:rsid w:val="00251A42"/>
    <w:rsid w:val="00255AD9"/>
    <w:rsid w:val="002573F2"/>
    <w:rsid w:val="002756EC"/>
    <w:rsid w:val="00275C1E"/>
    <w:rsid w:val="00282818"/>
    <w:rsid w:val="0029254A"/>
    <w:rsid w:val="00294153"/>
    <w:rsid w:val="002B075E"/>
    <w:rsid w:val="002B293C"/>
    <w:rsid w:val="002C22DC"/>
    <w:rsid w:val="002C48B2"/>
    <w:rsid w:val="002C4BA9"/>
    <w:rsid w:val="002C5D1C"/>
    <w:rsid w:val="002C768C"/>
    <w:rsid w:val="002D7384"/>
    <w:rsid w:val="002D7552"/>
    <w:rsid w:val="002E0B8B"/>
    <w:rsid w:val="002F7B3E"/>
    <w:rsid w:val="00305E7A"/>
    <w:rsid w:val="00310E10"/>
    <w:rsid w:val="00310EAF"/>
    <w:rsid w:val="00314198"/>
    <w:rsid w:val="00340412"/>
    <w:rsid w:val="003446AD"/>
    <w:rsid w:val="0034511C"/>
    <w:rsid w:val="00352587"/>
    <w:rsid w:val="003562B8"/>
    <w:rsid w:val="00360284"/>
    <w:rsid w:val="003654C7"/>
    <w:rsid w:val="003779F0"/>
    <w:rsid w:val="0038008E"/>
    <w:rsid w:val="00395AE5"/>
    <w:rsid w:val="003A0AEA"/>
    <w:rsid w:val="003A15F5"/>
    <w:rsid w:val="003A23D5"/>
    <w:rsid w:val="003A6B48"/>
    <w:rsid w:val="003B77EB"/>
    <w:rsid w:val="003C1690"/>
    <w:rsid w:val="003C2E6B"/>
    <w:rsid w:val="003C70A3"/>
    <w:rsid w:val="003D29AD"/>
    <w:rsid w:val="003D5413"/>
    <w:rsid w:val="003F1C7E"/>
    <w:rsid w:val="003F5C58"/>
    <w:rsid w:val="003F6AE7"/>
    <w:rsid w:val="00401A07"/>
    <w:rsid w:val="00404A75"/>
    <w:rsid w:val="00406D1B"/>
    <w:rsid w:val="00414833"/>
    <w:rsid w:val="004219F7"/>
    <w:rsid w:val="00426CCB"/>
    <w:rsid w:val="0043044E"/>
    <w:rsid w:val="0043188E"/>
    <w:rsid w:val="00431EE8"/>
    <w:rsid w:val="00433DD7"/>
    <w:rsid w:val="00436678"/>
    <w:rsid w:val="00443ACF"/>
    <w:rsid w:val="00450A78"/>
    <w:rsid w:val="00451556"/>
    <w:rsid w:val="004610DE"/>
    <w:rsid w:val="00477B6A"/>
    <w:rsid w:val="0048265B"/>
    <w:rsid w:val="004B061E"/>
    <w:rsid w:val="004C13A2"/>
    <w:rsid w:val="004C7BFE"/>
    <w:rsid w:val="004E003A"/>
    <w:rsid w:val="004E775F"/>
    <w:rsid w:val="004F26FD"/>
    <w:rsid w:val="004F647F"/>
    <w:rsid w:val="00507B4E"/>
    <w:rsid w:val="00512ACF"/>
    <w:rsid w:val="0052129E"/>
    <w:rsid w:val="00532CDB"/>
    <w:rsid w:val="00535310"/>
    <w:rsid w:val="00537847"/>
    <w:rsid w:val="00550F67"/>
    <w:rsid w:val="0055541A"/>
    <w:rsid w:val="00563D2A"/>
    <w:rsid w:val="00563EF8"/>
    <w:rsid w:val="0056746D"/>
    <w:rsid w:val="00572377"/>
    <w:rsid w:val="00581AD3"/>
    <w:rsid w:val="0059338F"/>
    <w:rsid w:val="005A28B2"/>
    <w:rsid w:val="005A5904"/>
    <w:rsid w:val="005A6248"/>
    <w:rsid w:val="005B6F0E"/>
    <w:rsid w:val="005C4755"/>
    <w:rsid w:val="005D0874"/>
    <w:rsid w:val="005D36FF"/>
    <w:rsid w:val="005E0A78"/>
    <w:rsid w:val="005F0324"/>
    <w:rsid w:val="005F1D2F"/>
    <w:rsid w:val="005F234A"/>
    <w:rsid w:val="005F6FB5"/>
    <w:rsid w:val="006007B0"/>
    <w:rsid w:val="00613D3F"/>
    <w:rsid w:val="006149C8"/>
    <w:rsid w:val="00615375"/>
    <w:rsid w:val="00622400"/>
    <w:rsid w:val="00622549"/>
    <w:rsid w:val="006350B7"/>
    <w:rsid w:val="00655350"/>
    <w:rsid w:val="00660B09"/>
    <w:rsid w:val="00663520"/>
    <w:rsid w:val="00663DE8"/>
    <w:rsid w:val="0066603D"/>
    <w:rsid w:val="0066638B"/>
    <w:rsid w:val="00671477"/>
    <w:rsid w:val="006739C5"/>
    <w:rsid w:val="00676762"/>
    <w:rsid w:val="00677484"/>
    <w:rsid w:val="00690E4B"/>
    <w:rsid w:val="00697205"/>
    <w:rsid w:val="006A6873"/>
    <w:rsid w:val="006A68C4"/>
    <w:rsid w:val="006A6DF4"/>
    <w:rsid w:val="006A743B"/>
    <w:rsid w:val="006A78F2"/>
    <w:rsid w:val="006C393B"/>
    <w:rsid w:val="006C58AC"/>
    <w:rsid w:val="006C6D86"/>
    <w:rsid w:val="006D1B73"/>
    <w:rsid w:val="006D2E52"/>
    <w:rsid w:val="006D6ED2"/>
    <w:rsid w:val="006E5D48"/>
    <w:rsid w:val="006F2A81"/>
    <w:rsid w:val="006F55F1"/>
    <w:rsid w:val="00703EB0"/>
    <w:rsid w:val="0071234D"/>
    <w:rsid w:val="00713C90"/>
    <w:rsid w:val="00716D48"/>
    <w:rsid w:val="00717FC3"/>
    <w:rsid w:val="00721CF5"/>
    <w:rsid w:val="00724D12"/>
    <w:rsid w:val="00727A39"/>
    <w:rsid w:val="007331DC"/>
    <w:rsid w:val="00743D67"/>
    <w:rsid w:val="007503C8"/>
    <w:rsid w:val="007514BE"/>
    <w:rsid w:val="00752D81"/>
    <w:rsid w:val="00757F63"/>
    <w:rsid w:val="00774466"/>
    <w:rsid w:val="0077718A"/>
    <w:rsid w:val="007772D3"/>
    <w:rsid w:val="00793818"/>
    <w:rsid w:val="00793F19"/>
    <w:rsid w:val="00797E59"/>
    <w:rsid w:val="007A0F58"/>
    <w:rsid w:val="007A22B1"/>
    <w:rsid w:val="007A341E"/>
    <w:rsid w:val="007A7D89"/>
    <w:rsid w:val="007B224E"/>
    <w:rsid w:val="007B35B3"/>
    <w:rsid w:val="007B529F"/>
    <w:rsid w:val="007C2ADD"/>
    <w:rsid w:val="007E14CC"/>
    <w:rsid w:val="007F0177"/>
    <w:rsid w:val="007F2273"/>
    <w:rsid w:val="007F53DD"/>
    <w:rsid w:val="008037FE"/>
    <w:rsid w:val="008067EB"/>
    <w:rsid w:val="00813477"/>
    <w:rsid w:val="008167E6"/>
    <w:rsid w:val="00821B67"/>
    <w:rsid w:val="008255F8"/>
    <w:rsid w:val="008314E8"/>
    <w:rsid w:val="008339BD"/>
    <w:rsid w:val="00844830"/>
    <w:rsid w:val="00853222"/>
    <w:rsid w:val="008549EB"/>
    <w:rsid w:val="008573D3"/>
    <w:rsid w:val="00862BDB"/>
    <w:rsid w:val="008654BC"/>
    <w:rsid w:val="0086627E"/>
    <w:rsid w:val="00870B63"/>
    <w:rsid w:val="00876226"/>
    <w:rsid w:val="008843D2"/>
    <w:rsid w:val="00884EA0"/>
    <w:rsid w:val="00886E16"/>
    <w:rsid w:val="008A5B7E"/>
    <w:rsid w:val="008A6204"/>
    <w:rsid w:val="008B17F7"/>
    <w:rsid w:val="008B68D8"/>
    <w:rsid w:val="008B73C9"/>
    <w:rsid w:val="008C5A88"/>
    <w:rsid w:val="008C7602"/>
    <w:rsid w:val="008D3D34"/>
    <w:rsid w:val="008E20CC"/>
    <w:rsid w:val="008E3088"/>
    <w:rsid w:val="008E6B5F"/>
    <w:rsid w:val="008E6C9F"/>
    <w:rsid w:val="009046FC"/>
    <w:rsid w:val="009213B9"/>
    <w:rsid w:val="009222AB"/>
    <w:rsid w:val="00924273"/>
    <w:rsid w:val="009563F2"/>
    <w:rsid w:val="0095745A"/>
    <w:rsid w:val="0096025A"/>
    <w:rsid w:val="0098148D"/>
    <w:rsid w:val="00982F79"/>
    <w:rsid w:val="00991F1C"/>
    <w:rsid w:val="00993DEC"/>
    <w:rsid w:val="009942D0"/>
    <w:rsid w:val="009957D3"/>
    <w:rsid w:val="00995B47"/>
    <w:rsid w:val="009B28F9"/>
    <w:rsid w:val="009B5DA6"/>
    <w:rsid w:val="009D14D6"/>
    <w:rsid w:val="009D3F92"/>
    <w:rsid w:val="009D52FA"/>
    <w:rsid w:val="009E16C8"/>
    <w:rsid w:val="009E2415"/>
    <w:rsid w:val="009E3ABB"/>
    <w:rsid w:val="009F2FB2"/>
    <w:rsid w:val="009F7F9D"/>
    <w:rsid w:val="00A02AA9"/>
    <w:rsid w:val="00A07035"/>
    <w:rsid w:val="00A13B7E"/>
    <w:rsid w:val="00A173B4"/>
    <w:rsid w:val="00A360FE"/>
    <w:rsid w:val="00A370A3"/>
    <w:rsid w:val="00A37C32"/>
    <w:rsid w:val="00A41D15"/>
    <w:rsid w:val="00A570FE"/>
    <w:rsid w:val="00A57E18"/>
    <w:rsid w:val="00A72186"/>
    <w:rsid w:val="00A817E4"/>
    <w:rsid w:val="00A81E9A"/>
    <w:rsid w:val="00A87D4D"/>
    <w:rsid w:val="00A9074D"/>
    <w:rsid w:val="00A96457"/>
    <w:rsid w:val="00AA4C1D"/>
    <w:rsid w:val="00AA7DDF"/>
    <w:rsid w:val="00AB1080"/>
    <w:rsid w:val="00AC3CEA"/>
    <w:rsid w:val="00AE174B"/>
    <w:rsid w:val="00AF234B"/>
    <w:rsid w:val="00AF33B1"/>
    <w:rsid w:val="00B0100B"/>
    <w:rsid w:val="00B01627"/>
    <w:rsid w:val="00B13827"/>
    <w:rsid w:val="00B20A38"/>
    <w:rsid w:val="00B243F1"/>
    <w:rsid w:val="00B251E7"/>
    <w:rsid w:val="00B468C9"/>
    <w:rsid w:val="00B51E9A"/>
    <w:rsid w:val="00B77990"/>
    <w:rsid w:val="00B8086A"/>
    <w:rsid w:val="00B86D59"/>
    <w:rsid w:val="00B8795C"/>
    <w:rsid w:val="00B95CB7"/>
    <w:rsid w:val="00B975EA"/>
    <w:rsid w:val="00BA17C5"/>
    <w:rsid w:val="00BB3AE4"/>
    <w:rsid w:val="00BD2A89"/>
    <w:rsid w:val="00BE7213"/>
    <w:rsid w:val="00BE7298"/>
    <w:rsid w:val="00BE7CAA"/>
    <w:rsid w:val="00BF67C9"/>
    <w:rsid w:val="00C14BF3"/>
    <w:rsid w:val="00C20107"/>
    <w:rsid w:val="00C44155"/>
    <w:rsid w:val="00C503B8"/>
    <w:rsid w:val="00C52367"/>
    <w:rsid w:val="00C5363E"/>
    <w:rsid w:val="00C56CCA"/>
    <w:rsid w:val="00C72DA5"/>
    <w:rsid w:val="00C75455"/>
    <w:rsid w:val="00C758A1"/>
    <w:rsid w:val="00C76002"/>
    <w:rsid w:val="00C767EB"/>
    <w:rsid w:val="00C85AEB"/>
    <w:rsid w:val="00C877A2"/>
    <w:rsid w:val="00C95D50"/>
    <w:rsid w:val="00CA2DB0"/>
    <w:rsid w:val="00CA3666"/>
    <w:rsid w:val="00CB035B"/>
    <w:rsid w:val="00CC37CB"/>
    <w:rsid w:val="00CD3360"/>
    <w:rsid w:val="00CD34D6"/>
    <w:rsid w:val="00CE24CC"/>
    <w:rsid w:val="00CE6814"/>
    <w:rsid w:val="00CF4B25"/>
    <w:rsid w:val="00D05BEC"/>
    <w:rsid w:val="00D15C01"/>
    <w:rsid w:val="00D331EA"/>
    <w:rsid w:val="00D3482D"/>
    <w:rsid w:val="00D36DC1"/>
    <w:rsid w:val="00D4275D"/>
    <w:rsid w:val="00D46F58"/>
    <w:rsid w:val="00D562C9"/>
    <w:rsid w:val="00D63BD5"/>
    <w:rsid w:val="00D63FFC"/>
    <w:rsid w:val="00D76A3E"/>
    <w:rsid w:val="00D7713D"/>
    <w:rsid w:val="00D84812"/>
    <w:rsid w:val="00DA2978"/>
    <w:rsid w:val="00DA37F6"/>
    <w:rsid w:val="00DB3C73"/>
    <w:rsid w:val="00DB463E"/>
    <w:rsid w:val="00DD1106"/>
    <w:rsid w:val="00DE2A94"/>
    <w:rsid w:val="00DF7519"/>
    <w:rsid w:val="00E007CE"/>
    <w:rsid w:val="00E12581"/>
    <w:rsid w:val="00E2013F"/>
    <w:rsid w:val="00E23CA9"/>
    <w:rsid w:val="00E31AA0"/>
    <w:rsid w:val="00E36E56"/>
    <w:rsid w:val="00E6382D"/>
    <w:rsid w:val="00E67C7F"/>
    <w:rsid w:val="00E71BDD"/>
    <w:rsid w:val="00E774DA"/>
    <w:rsid w:val="00E846FA"/>
    <w:rsid w:val="00E848F9"/>
    <w:rsid w:val="00E87E92"/>
    <w:rsid w:val="00E909E8"/>
    <w:rsid w:val="00E90BC5"/>
    <w:rsid w:val="00E9613B"/>
    <w:rsid w:val="00E96D08"/>
    <w:rsid w:val="00EA2FB5"/>
    <w:rsid w:val="00EA5176"/>
    <w:rsid w:val="00EA725A"/>
    <w:rsid w:val="00EA76E8"/>
    <w:rsid w:val="00EB7B58"/>
    <w:rsid w:val="00EC0111"/>
    <w:rsid w:val="00EE1DBE"/>
    <w:rsid w:val="00EF0C5C"/>
    <w:rsid w:val="00F04B4F"/>
    <w:rsid w:val="00F068B8"/>
    <w:rsid w:val="00F06B65"/>
    <w:rsid w:val="00F34475"/>
    <w:rsid w:val="00F35886"/>
    <w:rsid w:val="00F44637"/>
    <w:rsid w:val="00F54D55"/>
    <w:rsid w:val="00F60AF6"/>
    <w:rsid w:val="00F743D4"/>
    <w:rsid w:val="00F7603D"/>
    <w:rsid w:val="00F81CA5"/>
    <w:rsid w:val="00F91B9A"/>
    <w:rsid w:val="00F925D7"/>
    <w:rsid w:val="00F925EF"/>
    <w:rsid w:val="00F96093"/>
    <w:rsid w:val="00FA3373"/>
    <w:rsid w:val="00FA37A9"/>
    <w:rsid w:val="00FB3F3F"/>
    <w:rsid w:val="00FB5454"/>
    <w:rsid w:val="00FC068F"/>
    <w:rsid w:val="00FC5FCD"/>
    <w:rsid w:val="00FC6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857BF"/>
  <w15:docId w15:val="{572AA99F-93BC-4CE2-8ED0-B0A7426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F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с булитами,Bullet List,FooterText,numbered,ТЗ список,Абзац списка литеральный,ПС - Нумерованный,Основной абзац"/>
    <w:basedOn w:val="a"/>
    <w:link w:val="a4"/>
    <w:uiPriority w:val="34"/>
    <w:qFormat/>
    <w:rsid w:val="00D46F58"/>
    <w:pPr>
      <w:ind w:left="720"/>
      <w:contextualSpacing/>
    </w:pPr>
  </w:style>
  <w:style w:type="paragraph" w:styleId="a5">
    <w:name w:val="header"/>
    <w:basedOn w:val="a"/>
    <w:link w:val="a6"/>
    <w:uiPriority w:val="99"/>
    <w:unhideWhenUsed/>
    <w:rsid w:val="00C5236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52367"/>
  </w:style>
  <w:style w:type="paragraph" w:styleId="a7">
    <w:name w:val="footer"/>
    <w:basedOn w:val="a"/>
    <w:link w:val="a8"/>
    <w:uiPriority w:val="99"/>
    <w:unhideWhenUsed/>
    <w:rsid w:val="00C5236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52367"/>
  </w:style>
  <w:style w:type="paragraph" w:styleId="a9">
    <w:name w:val="Balloon Text"/>
    <w:basedOn w:val="a"/>
    <w:link w:val="aa"/>
    <w:uiPriority w:val="99"/>
    <w:semiHidden/>
    <w:unhideWhenUsed/>
    <w:rsid w:val="001B140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B1402"/>
    <w:rPr>
      <w:rFonts w:ascii="Segoe UI" w:hAnsi="Segoe UI" w:cs="Segoe UI"/>
      <w:sz w:val="18"/>
      <w:szCs w:val="18"/>
    </w:rPr>
  </w:style>
  <w:style w:type="table" w:styleId="ab">
    <w:name w:val="Table Grid"/>
    <w:basedOn w:val="a1"/>
    <w:uiPriority w:val="39"/>
    <w:rsid w:val="000C0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0C0728"/>
    <w:rPr>
      <w:color w:val="0000FF"/>
      <w:u w:val="single"/>
    </w:rPr>
  </w:style>
  <w:style w:type="paragraph" w:styleId="ad">
    <w:name w:val="Normal (Web)"/>
    <w:basedOn w:val="a"/>
    <w:uiPriority w:val="99"/>
    <w:unhideWhenUsed/>
    <w:rsid w:val="008B68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link w:val="af"/>
    <w:qFormat/>
    <w:rsid w:val="00D05BEC"/>
    <w:pPr>
      <w:spacing w:after="0" w:line="240" w:lineRule="auto"/>
    </w:pPr>
  </w:style>
  <w:style w:type="character" w:customStyle="1" w:styleId="af">
    <w:name w:val="Без интервала Знак"/>
    <w:link w:val="ae"/>
    <w:uiPriority w:val="1"/>
    <w:locked/>
    <w:rsid w:val="00D05BEC"/>
  </w:style>
  <w:style w:type="paragraph" w:customStyle="1" w:styleId="Default">
    <w:name w:val="Default"/>
    <w:rsid w:val="00DD1106"/>
    <w:pPr>
      <w:autoSpaceDE w:val="0"/>
      <w:autoSpaceDN w:val="0"/>
      <w:adjustRightInd w:val="0"/>
      <w:spacing w:after="0" w:line="240" w:lineRule="auto"/>
    </w:pPr>
    <w:rPr>
      <w:rFonts w:ascii="PT Astra Serif" w:hAnsi="PT Astra Serif" w:cs="PT Astra Serif"/>
      <w:color w:val="000000"/>
      <w:sz w:val="24"/>
      <w:szCs w:val="24"/>
    </w:rPr>
  </w:style>
  <w:style w:type="paragraph" w:customStyle="1" w:styleId="font8">
    <w:name w:val="font_8"/>
    <w:basedOn w:val="a"/>
    <w:rsid w:val="00B95C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Revision"/>
    <w:hidden/>
    <w:uiPriority w:val="99"/>
    <w:semiHidden/>
    <w:rsid w:val="0077718A"/>
    <w:pPr>
      <w:spacing w:after="0" w:line="240" w:lineRule="auto"/>
    </w:pPr>
  </w:style>
  <w:style w:type="character" w:customStyle="1" w:styleId="jsgrdq">
    <w:name w:val="jsgrdq"/>
    <w:basedOn w:val="a0"/>
    <w:rsid w:val="008167E6"/>
  </w:style>
  <w:style w:type="character" w:customStyle="1" w:styleId="1">
    <w:name w:val="Неразрешенное упоминание1"/>
    <w:basedOn w:val="a0"/>
    <w:uiPriority w:val="99"/>
    <w:semiHidden/>
    <w:unhideWhenUsed/>
    <w:rsid w:val="00F60AF6"/>
    <w:rPr>
      <w:color w:val="605E5C"/>
      <w:shd w:val="clear" w:color="auto" w:fill="E1DFDD"/>
    </w:rPr>
  </w:style>
  <w:style w:type="character" w:customStyle="1" w:styleId="BoldText">
    <w:name w:val="BoldText"/>
    <w:basedOn w:val="a0"/>
    <w:uiPriority w:val="15"/>
    <w:qFormat/>
    <w:rsid w:val="008067EB"/>
    <w:rPr>
      <w:b/>
    </w:rPr>
  </w:style>
  <w:style w:type="character" w:customStyle="1" w:styleId="msoins0">
    <w:name w:val="msoins"/>
    <w:basedOn w:val="a0"/>
    <w:rsid w:val="00535310"/>
    <w:rPr>
      <w:color w:val="008080"/>
      <w:u w:val="single"/>
    </w:rPr>
  </w:style>
  <w:style w:type="character" w:customStyle="1" w:styleId="a4">
    <w:name w:val="Абзац списка Знак"/>
    <w:aliases w:val="Список с булитами Знак,Bullet List Знак,FooterText Знак,numbered Знак,ТЗ список Знак,Абзац списка литеральный Знак,ПС - Нумерованный Знак,Основной абзац Знак"/>
    <w:link w:val="a3"/>
    <w:uiPriority w:val="34"/>
    <w:locked/>
    <w:rsid w:val="0043044E"/>
  </w:style>
  <w:style w:type="character" w:styleId="af1">
    <w:name w:val="annotation reference"/>
    <w:basedOn w:val="a0"/>
    <w:uiPriority w:val="99"/>
    <w:semiHidden/>
    <w:unhideWhenUsed/>
    <w:rsid w:val="00E36E56"/>
    <w:rPr>
      <w:sz w:val="16"/>
      <w:szCs w:val="16"/>
    </w:rPr>
  </w:style>
  <w:style w:type="paragraph" w:styleId="af2">
    <w:name w:val="annotation text"/>
    <w:basedOn w:val="a"/>
    <w:link w:val="af3"/>
    <w:uiPriority w:val="99"/>
    <w:semiHidden/>
    <w:unhideWhenUsed/>
    <w:rsid w:val="00E36E56"/>
    <w:pPr>
      <w:spacing w:line="240" w:lineRule="auto"/>
    </w:pPr>
    <w:rPr>
      <w:sz w:val="20"/>
      <w:szCs w:val="20"/>
    </w:rPr>
  </w:style>
  <w:style w:type="character" w:customStyle="1" w:styleId="af3">
    <w:name w:val="Текст примечания Знак"/>
    <w:basedOn w:val="a0"/>
    <w:link w:val="af2"/>
    <w:uiPriority w:val="99"/>
    <w:semiHidden/>
    <w:rsid w:val="00E36E56"/>
    <w:rPr>
      <w:sz w:val="20"/>
      <w:szCs w:val="20"/>
    </w:rPr>
  </w:style>
  <w:style w:type="paragraph" w:styleId="af4">
    <w:name w:val="annotation subject"/>
    <w:basedOn w:val="af2"/>
    <w:next w:val="af2"/>
    <w:link w:val="af5"/>
    <w:uiPriority w:val="99"/>
    <w:semiHidden/>
    <w:unhideWhenUsed/>
    <w:rsid w:val="00E36E56"/>
    <w:rPr>
      <w:b/>
      <w:bCs/>
    </w:rPr>
  </w:style>
  <w:style w:type="character" w:customStyle="1" w:styleId="af5">
    <w:name w:val="Тема примечания Знак"/>
    <w:basedOn w:val="af3"/>
    <w:link w:val="af4"/>
    <w:uiPriority w:val="99"/>
    <w:semiHidden/>
    <w:rsid w:val="00E36E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68422">
      <w:bodyDiv w:val="1"/>
      <w:marLeft w:val="0"/>
      <w:marRight w:val="0"/>
      <w:marTop w:val="0"/>
      <w:marBottom w:val="0"/>
      <w:divBdr>
        <w:top w:val="none" w:sz="0" w:space="0" w:color="auto"/>
        <w:left w:val="none" w:sz="0" w:space="0" w:color="auto"/>
        <w:bottom w:val="none" w:sz="0" w:space="0" w:color="auto"/>
        <w:right w:val="none" w:sz="0" w:space="0" w:color="auto"/>
      </w:divBdr>
    </w:div>
    <w:div w:id="134297585">
      <w:bodyDiv w:val="1"/>
      <w:marLeft w:val="0"/>
      <w:marRight w:val="0"/>
      <w:marTop w:val="0"/>
      <w:marBottom w:val="0"/>
      <w:divBdr>
        <w:top w:val="none" w:sz="0" w:space="0" w:color="auto"/>
        <w:left w:val="none" w:sz="0" w:space="0" w:color="auto"/>
        <w:bottom w:val="none" w:sz="0" w:space="0" w:color="auto"/>
        <w:right w:val="none" w:sz="0" w:space="0" w:color="auto"/>
      </w:divBdr>
    </w:div>
    <w:div w:id="160657530">
      <w:bodyDiv w:val="1"/>
      <w:marLeft w:val="0"/>
      <w:marRight w:val="0"/>
      <w:marTop w:val="0"/>
      <w:marBottom w:val="0"/>
      <w:divBdr>
        <w:top w:val="none" w:sz="0" w:space="0" w:color="auto"/>
        <w:left w:val="none" w:sz="0" w:space="0" w:color="auto"/>
        <w:bottom w:val="none" w:sz="0" w:space="0" w:color="auto"/>
        <w:right w:val="none" w:sz="0" w:space="0" w:color="auto"/>
      </w:divBdr>
    </w:div>
    <w:div w:id="307830716">
      <w:bodyDiv w:val="1"/>
      <w:marLeft w:val="0"/>
      <w:marRight w:val="0"/>
      <w:marTop w:val="0"/>
      <w:marBottom w:val="0"/>
      <w:divBdr>
        <w:top w:val="none" w:sz="0" w:space="0" w:color="auto"/>
        <w:left w:val="none" w:sz="0" w:space="0" w:color="auto"/>
        <w:bottom w:val="none" w:sz="0" w:space="0" w:color="auto"/>
        <w:right w:val="none" w:sz="0" w:space="0" w:color="auto"/>
      </w:divBdr>
    </w:div>
    <w:div w:id="312029732">
      <w:bodyDiv w:val="1"/>
      <w:marLeft w:val="0"/>
      <w:marRight w:val="0"/>
      <w:marTop w:val="0"/>
      <w:marBottom w:val="0"/>
      <w:divBdr>
        <w:top w:val="none" w:sz="0" w:space="0" w:color="auto"/>
        <w:left w:val="none" w:sz="0" w:space="0" w:color="auto"/>
        <w:bottom w:val="none" w:sz="0" w:space="0" w:color="auto"/>
        <w:right w:val="none" w:sz="0" w:space="0" w:color="auto"/>
      </w:divBdr>
    </w:div>
    <w:div w:id="321157444">
      <w:bodyDiv w:val="1"/>
      <w:marLeft w:val="0"/>
      <w:marRight w:val="0"/>
      <w:marTop w:val="0"/>
      <w:marBottom w:val="0"/>
      <w:divBdr>
        <w:top w:val="none" w:sz="0" w:space="0" w:color="auto"/>
        <w:left w:val="none" w:sz="0" w:space="0" w:color="auto"/>
        <w:bottom w:val="none" w:sz="0" w:space="0" w:color="auto"/>
        <w:right w:val="none" w:sz="0" w:space="0" w:color="auto"/>
      </w:divBdr>
    </w:div>
    <w:div w:id="326323164">
      <w:bodyDiv w:val="1"/>
      <w:marLeft w:val="0"/>
      <w:marRight w:val="0"/>
      <w:marTop w:val="0"/>
      <w:marBottom w:val="0"/>
      <w:divBdr>
        <w:top w:val="none" w:sz="0" w:space="0" w:color="auto"/>
        <w:left w:val="none" w:sz="0" w:space="0" w:color="auto"/>
        <w:bottom w:val="none" w:sz="0" w:space="0" w:color="auto"/>
        <w:right w:val="none" w:sz="0" w:space="0" w:color="auto"/>
      </w:divBdr>
    </w:div>
    <w:div w:id="333188330">
      <w:bodyDiv w:val="1"/>
      <w:marLeft w:val="0"/>
      <w:marRight w:val="0"/>
      <w:marTop w:val="0"/>
      <w:marBottom w:val="0"/>
      <w:divBdr>
        <w:top w:val="none" w:sz="0" w:space="0" w:color="auto"/>
        <w:left w:val="none" w:sz="0" w:space="0" w:color="auto"/>
        <w:bottom w:val="none" w:sz="0" w:space="0" w:color="auto"/>
        <w:right w:val="none" w:sz="0" w:space="0" w:color="auto"/>
      </w:divBdr>
    </w:div>
    <w:div w:id="352001255">
      <w:bodyDiv w:val="1"/>
      <w:marLeft w:val="0"/>
      <w:marRight w:val="0"/>
      <w:marTop w:val="0"/>
      <w:marBottom w:val="0"/>
      <w:divBdr>
        <w:top w:val="none" w:sz="0" w:space="0" w:color="auto"/>
        <w:left w:val="none" w:sz="0" w:space="0" w:color="auto"/>
        <w:bottom w:val="none" w:sz="0" w:space="0" w:color="auto"/>
        <w:right w:val="none" w:sz="0" w:space="0" w:color="auto"/>
      </w:divBdr>
    </w:div>
    <w:div w:id="378945451">
      <w:bodyDiv w:val="1"/>
      <w:marLeft w:val="0"/>
      <w:marRight w:val="0"/>
      <w:marTop w:val="0"/>
      <w:marBottom w:val="0"/>
      <w:divBdr>
        <w:top w:val="none" w:sz="0" w:space="0" w:color="auto"/>
        <w:left w:val="none" w:sz="0" w:space="0" w:color="auto"/>
        <w:bottom w:val="none" w:sz="0" w:space="0" w:color="auto"/>
        <w:right w:val="none" w:sz="0" w:space="0" w:color="auto"/>
      </w:divBdr>
    </w:div>
    <w:div w:id="418213165">
      <w:bodyDiv w:val="1"/>
      <w:marLeft w:val="0"/>
      <w:marRight w:val="0"/>
      <w:marTop w:val="0"/>
      <w:marBottom w:val="0"/>
      <w:divBdr>
        <w:top w:val="none" w:sz="0" w:space="0" w:color="auto"/>
        <w:left w:val="none" w:sz="0" w:space="0" w:color="auto"/>
        <w:bottom w:val="none" w:sz="0" w:space="0" w:color="auto"/>
        <w:right w:val="none" w:sz="0" w:space="0" w:color="auto"/>
      </w:divBdr>
    </w:div>
    <w:div w:id="540630536">
      <w:bodyDiv w:val="1"/>
      <w:marLeft w:val="0"/>
      <w:marRight w:val="0"/>
      <w:marTop w:val="0"/>
      <w:marBottom w:val="0"/>
      <w:divBdr>
        <w:top w:val="none" w:sz="0" w:space="0" w:color="auto"/>
        <w:left w:val="none" w:sz="0" w:space="0" w:color="auto"/>
        <w:bottom w:val="none" w:sz="0" w:space="0" w:color="auto"/>
        <w:right w:val="none" w:sz="0" w:space="0" w:color="auto"/>
      </w:divBdr>
    </w:div>
    <w:div w:id="558440882">
      <w:bodyDiv w:val="1"/>
      <w:marLeft w:val="0"/>
      <w:marRight w:val="0"/>
      <w:marTop w:val="0"/>
      <w:marBottom w:val="0"/>
      <w:divBdr>
        <w:top w:val="none" w:sz="0" w:space="0" w:color="auto"/>
        <w:left w:val="none" w:sz="0" w:space="0" w:color="auto"/>
        <w:bottom w:val="none" w:sz="0" w:space="0" w:color="auto"/>
        <w:right w:val="none" w:sz="0" w:space="0" w:color="auto"/>
      </w:divBdr>
    </w:div>
    <w:div w:id="581835451">
      <w:bodyDiv w:val="1"/>
      <w:marLeft w:val="0"/>
      <w:marRight w:val="0"/>
      <w:marTop w:val="0"/>
      <w:marBottom w:val="0"/>
      <w:divBdr>
        <w:top w:val="none" w:sz="0" w:space="0" w:color="auto"/>
        <w:left w:val="none" w:sz="0" w:space="0" w:color="auto"/>
        <w:bottom w:val="none" w:sz="0" w:space="0" w:color="auto"/>
        <w:right w:val="none" w:sz="0" w:space="0" w:color="auto"/>
      </w:divBdr>
    </w:div>
    <w:div w:id="581840882">
      <w:bodyDiv w:val="1"/>
      <w:marLeft w:val="0"/>
      <w:marRight w:val="0"/>
      <w:marTop w:val="0"/>
      <w:marBottom w:val="0"/>
      <w:divBdr>
        <w:top w:val="none" w:sz="0" w:space="0" w:color="auto"/>
        <w:left w:val="none" w:sz="0" w:space="0" w:color="auto"/>
        <w:bottom w:val="none" w:sz="0" w:space="0" w:color="auto"/>
        <w:right w:val="none" w:sz="0" w:space="0" w:color="auto"/>
      </w:divBdr>
    </w:div>
    <w:div w:id="585725297">
      <w:bodyDiv w:val="1"/>
      <w:marLeft w:val="0"/>
      <w:marRight w:val="0"/>
      <w:marTop w:val="0"/>
      <w:marBottom w:val="0"/>
      <w:divBdr>
        <w:top w:val="none" w:sz="0" w:space="0" w:color="auto"/>
        <w:left w:val="none" w:sz="0" w:space="0" w:color="auto"/>
        <w:bottom w:val="none" w:sz="0" w:space="0" w:color="auto"/>
        <w:right w:val="none" w:sz="0" w:space="0" w:color="auto"/>
      </w:divBdr>
    </w:div>
    <w:div w:id="590964696">
      <w:bodyDiv w:val="1"/>
      <w:marLeft w:val="0"/>
      <w:marRight w:val="0"/>
      <w:marTop w:val="0"/>
      <w:marBottom w:val="0"/>
      <w:divBdr>
        <w:top w:val="none" w:sz="0" w:space="0" w:color="auto"/>
        <w:left w:val="none" w:sz="0" w:space="0" w:color="auto"/>
        <w:bottom w:val="none" w:sz="0" w:space="0" w:color="auto"/>
        <w:right w:val="none" w:sz="0" w:space="0" w:color="auto"/>
      </w:divBdr>
    </w:div>
    <w:div w:id="667901486">
      <w:bodyDiv w:val="1"/>
      <w:marLeft w:val="0"/>
      <w:marRight w:val="0"/>
      <w:marTop w:val="0"/>
      <w:marBottom w:val="0"/>
      <w:divBdr>
        <w:top w:val="none" w:sz="0" w:space="0" w:color="auto"/>
        <w:left w:val="none" w:sz="0" w:space="0" w:color="auto"/>
        <w:bottom w:val="none" w:sz="0" w:space="0" w:color="auto"/>
        <w:right w:val="none" w:sz="0" w:space="0" w:color="auto"/>
      </w:divBdr>
    </w:div>
    <w:div w:id="709454084">
      <w:bodyDiv w:val="1"/>
      <w:marLeft w:val="0"/>
      <w:marRight w:val="0"/>
      <w:marTop w:val="0"/>
      <w:marBottom w:val="0"/>
      <w:divBdr>
        <w:top w:val="none" w:sz="0" w:space="0" w:color="auto"/>
        <w:left w:val="none" w:sz="0" w:space="0" w:color="auto"/>
        <w:bottom w:val="none" w:sz="0" w:space="0" w:color="auto"/>
        <w:right w:val="none" w:sz="0" w:space="0" w:color="auto"/>
      </w:divBdr>
    </w:div>
    <w:div w:id="721487443">
      <w:bodyDiv w:val="1"/>
      <w:marLeft w:val="0"/>
      <w:marRight w:val="0"/>
      <w:marTop w:val="0"/>
      <w:marBottom w:val="0"/>
      <w:divBdr>
        <w:top w:val="none" w:sz="0" w:space="0" w:color="auto"/>
        <w:left w:val="none" w:sz="0" w:space="0" w:color="auto"/>
        <w:bottom w:val="none" w:sz="0" w:space="0" w:color="auto"/>
        <w:right w:val="none" w:sz="0" w:space="0" w:color="auto"/>
      </w:divBdr>
    </w:div>
    <w:div w:id="774179173">
      <w:bodyDiv w:val="1"/>
      <w:marLeft w:val="0"/>
      <w:marRight w:val="0"/>
      <w:marTop w:val="0"/>
      <w:marBottom w:val="0"/>
      <w:divBdr>
        <w:top w:val="none" w:sz="0" w:space="0" w:color="auto"/>
        <w:left w:val="none" w:sz="0" w:space="0" w:color="auto"/>
        <w:bottom w:val="none" w:sz="0" w:space="0" w:color="auto"/>
        <w:right w:val="none" w:sz="0" w:space="0" w:color="auto"/>
      </w:divBdr>
    </w:div>
    <w:div w:id="808133799">
      <w:bodyDiv w:val="1"/>
      <w:marLeft w:val="0"/>
      <w:marRight w:val="0"/>
      <w:marTop w:val="0"/>
      <w:marBottom w:val="0"/>
      <w:divBdr>
        <w:top w:val="none" w:sz="0" w:space="0" w:color="auto"/>
        <w:left w:val="none" w:sz="0" w:space="0" w:color="auto"/>
        <w:bottom w:val="none" w:sz="0" w:space="0" w:color="auto"/>
        <w:right w:val="none" w:sz="0" w:space="0" w:color="auto"/>
      </w:divBdr>
    </w:div>
    <w:div w:id="838426115">
      <w:bodyDiv w:val="1"/>
      <w:marLeft w:val="0"/>
      <w:marRight w:val="0"/>
      <w:marTop w:val="0"/>
      <w:marBottom w:val="0"/>
      <w:divBdr>
        <w:top w:val="none" w:sz="0" w:space="0" w:color="auto"/>
        <w:left w:val="none" w:sz="0" w:space="0" w:color="auto"/>
        <w:bottom w:val="none" w:sz="0" w:space="0" w:color="auto"/>
        <w:right w:val="none" w:sz="0" w:space="0" w:color="auto"/>
      </w:divBdr>
    </w:div>
    <w:div w:id="843007687">
      <w:bodyDiv w:val="1"/>
      <w:marLeft w:val="0"/>
      <w:marRight w:val="0"/>
      <w:marTop w:val="0"/>
      <w:marBottom w:val="0"/>
      <w:divBdr>
        <w:top w:val="none" w:sz="0" w:space="0" w:color="auto"/>
        <w:left w:val="none" w:sz="0" w:space="0" w:color="auto"/>
        <w:bottom w:val="none" w:sz="0" w:space="0" w:color="auto"/>
        <w:right w:val="none" w:sz="0" w:space="0" w:color="auto"/>
      </w:divBdr>
    </w:div>
    <w:div w:id="873268411">
      <w:bodyDiv w:val="1"/>
      <w:marLeft w:val="0"/>
      <w:marRight w:val="0"/>
      <w:marTop w:val="0"/>
      <w:marBottom w:val="0"/>
      <w:divBdr>
        <w:top w:val="none" w:sz="0" w:space="0" w:color="auto"/>
        <w:left w:val="none" w:sz="0" w:space="0" w:color="auto"/>
        <w:bottom w:val="none" w:sz="0" w:space="0" w:color="auto"/>
        <w:right w:val="none" w:sz="0" w:space="0" w:color="auto"/>
      </w:divBdr>
    </w:div>
    <w:div w:id="907232323">
      <w:bodyDiv w:val="1"/>
      <w:marLeft w:val="0"/>
      <w:marRight w:val="0"/>
      <w:marTop w:val="0"/>
      <w:marBottom w:val="0"/>
      <w:divBdr>
        <w:top w:val="none" w:sz="0" w:space="0" w:color="auto"/>
        <w:left w:val="none" w:sz="0" w:space="0" w:color="auto"/>
        <w:bottom w:val="none" w:sz="0" w:space="0" w:color="auto"/>
        <w:right w:val="none" w:sz="0" w:space="0" w:color="auto"/>
      </w:divBdr>
    </w:div>
    <w:div w:id="995915712">
      <w:bodyDiv w:val="1"/>
      <w:marLeft w:val="0"/>
      <w:marRight w:val="0"/>
      <w:marTop w:val="0"/>
      <w:marBottom w:val="0"/>
      <w:divBdr>
        <w:top w:val="none" w:sz="0" w:space="0" w:color="auto"/>
        <w:left w:val="none" w:sz="0" w:space="0" w:color="auto"/>
        <w:bottom w:val="none" w:sz="0" w:space="0" w:color="auto"/>
        <w:right w:val="none" w:sz="0" w:space="0" w:color="auto"/>
      </w:divBdr>
    </w:div>
    <w:div w:id="1095055321">
      <w:bodyDiv w:val="1"/>
      <w:marLeft w:val="0"/>
      <w:marRight w:val="0"/>
      <w:marTop w:val="0"/>
      <w:marBottom w:val="0"/>
      <w:divBdr>
        <w:top w:val="none" w:sz="0" w:space="0" w:color="auto"/>
        <w:left w:val="none" w:sz="0" w:space="0" w:color="auto"/>
        <w:bottom w:val="none" w:sz="0" w:space="0" w:color="auto"/>
        <w:right w:val="none" w:sz="0" w:space="0" w:color="auto"/>
      </w:divBdr>
    </w:div>
    <w:div w:id="1104809538">
      <w:bodyDiv w:val="1"/>
      <w:marLeft w:val="0"/>
      <w:marRight w:val="0"/>
      <w:marTop w:val="0"/>
      <w:marBottom w:val="0"/>
      <w:divBdr>
        <w:top w:val="none" w:sz="0" w:space="0" w:color="auto"/>
        <w:left w:val="none" w:sz="0" w:space="0" w:color="auto"/>
        <w:bottom w:val="none" w:sz="0" w:space="0" w:color="auto"/>
        <w:right w:val="none" w:sz="0" w:space="0" w:color="auto"/>
      </w:divBdr>
    </w:div>
    <w:div w:id="1117866543">
      <w:bodyDiv w:val="1"/>
      <w:marLeft w:val="0"/>
      <w:marRight w:val="0"/>
      <w:marTop w:val="0"/>
      <w:marBottom w:val="0"/>
      <w:divBdr>
        <w:top w:val="none" w:sz="0" w:space="0" w:color="auto"/>
        <w:left w:val="none" w:sz="0" w:space="0" w:color="auto"/>
        <w:bottom w:val="none" w:sz="0" w:space="0" w:color="auto"/>
        <w:right w:val="none" w:sz="0" w:space="0" w:color="auto"/>
      </w:divBdr>
      <w:divsChild>
        <w:div w:id="1133332296">
          <w:marLeft w:val="446"/>
          <w:marRight w:val="0"/>
          <w:marTop w:val="0"/>
          <w:marBottom w:val="0"/>
          <w:divBdr>
            <w:top w:val="none" w:sz="0" w:space="0" w:color="auto"/>
            <w:left w:val="none" w:sz="0" w:space="0" w:color="auto"/>
            <w:bottom w:val="none" w:sz="0" w:space="0" w:color="auto"/>
            <w:right w:val="none" w:sz="0" w:space="0" w:color="auto"/>
          </w:divBdr>
        </w:div>
        <w:div w:id="1038551787">
          <w:marLeft w:val="446"/>
          <w:marRight w:val="0"/>
          <w:marTop w:val="0"/>
          <w:marBottom w:val="0"/>
          <w:divBdr>
            <w:top w:val="none" w:sz="0" w:space="0" w:color="auto"/>
            <w:left w:val="none" w:sz="0" w:space="0" w:color="auto"/>
            <w:bottom w:val="none" w:sz="0" w:space="0" w:color="auto"/>
            <w:right w:val="none" w:sz="0" w:space="0" w:color="auto"/>
          </w:divBdr>
        </w:div>
        <w:div w:id="1829708364">
          <w:marLeft w:val="446"/>
          <w:marRight w:val="0"/>
          <w:marTop w:val="0"/>
          <w:marBottom w:val="0"/>
          <w:divBdr>
            <w:top w:val="none" w:sz="0" w:space="0" w:color="auto"/>
            <w:left w:val="none" w:sz="0" w:space="0" w:color="auto"/>
            <w:bottom w:val="none" w:sz="0" w:space="0" w:color="auto"/>
            <w:right w:val="none" w:sz="0" w:space="0" w:color="auto"/>
          </w:divBdr>
        </w:div>
        <w:div w:id="1638531693">
          <w:marLeft w:val="446"/>
          <w:marRight w:val="0"/>
          <w:marTop w:val="0"/>
          <w:marBottom w:val="0"/>
          <w:divBdr>
            <w:top w:val="none" w:sz="0" w:space="0" w:color="auto"/>
            <w:left w:val="none" w:sz="0" w:space="0" w:color="auto"/>
            <w:bottom w:val="none" w:sz="0" w:space="0" w:color="auto"/>
            <w:right w:val="none" w:sz="0" w:space="0" w:color="auto"/>
          </w:divBdr>
        </w:div>
        <w:div w:id="1134101587">
          <w:marLeft w:val="446"/>
          <w:marRight w:val="0"/>
          <w:marTop w:val="0"/>
          <w:marBottom w:val="0"/>
          <w:divBdr>
            <w:top w:val="none" w:sz="0" w:space="0" w:color="auto"/>
            <w:left w:val="none" w:sz="0" w:space="0" w:color="auto"/>
            <w:bottom w:val="none" w:sz="0" w:space="0" w:color="auto"/>
            <w:right w:val="none" w:sz="0" w:space="0" w:color="auto"/>
          </w:divBdr>
        </w:div>
        <w:div w:id="1794206315">
          <w:marLeft w:val="446"/>
          <w:marRight w:val="0"/>
          <w:marTop w:val="0"/>
          <w:marBottom w:val="0"/>
          <w:divBdr>
            <w:top w:val="none" w:sz="0" w:space="0" w:color="auto"/>
            <w:left w:val="none" w:sz="0" w:space="0" w:color="auto"/>
            <w:bottom w:val="none" w:sz="0" w:space="0" w:color="auto"/>
            <w:right w:val="none" w:sz="0" w:space="0" w:color="auto"/>
          </w:divBdr>
        </w:div>
      </w:divsChild>
    </w:div>
    <w:div w:id="1223904863">
      <w:bodyDiv w:val="1"/>
      <w:marLeft w:val="0"/>
      <w:marRight w:val="0"/>
      <w:marTop w:val="0"/>
      <w:marBottom w:val="0"/>
      <w:divBdr>
        <w:top w:val="none" w:sz="0" w:space="0" w:color="auto"/>
        <w:left w:val="none" w:sz="0" w:space="0" w:color="auto"/>
        <w:bottom w:val="none" w:sz="0" w:space="0" w:color="auto"/>
        <w:right w:val="none" w:sz="0" w:space="0" w:color="auto"/>
      </w:divBdr>
    </w:div>
    <w:div w:id="1242256450">
      <w:bodyDiv w:val="1"/>
      <w:marLeft w:val="0"/>
      <w:marRight w:val="0"/>
      <w:marTop w:val="0"/>
      <w:marBottom w:val="0"/>
      <w:divBdr>
        <w:top w:val="none" w:sz="0" w:space="0" w:color="auto"/>
        <w:left w:val="none" w:sz="0" w:space="0" w:color="auto"/>
        <w:bottom w:val="none" w:sz="0" w:space="0" w:color="auto"/>
        <w:right w:val="none" w:sz="0" w:space="0" w:color="auto"/>
      </w:divBdr>
    </w:div>
    <w:div w:id="1333726095">
      <w:bodyDiv w:val="1"/>
      <w:marLeft w:val="0"/>
      <w:marRight w:val="0"/>
      <w:marTop w:val="0"/>
      <w:marBottom w:val="0"/>
      <w:divBdr>
        <w:top w:val="none" w:sz="0" w:space="0" w:color="auto"/>
        <w:left w:val="none" w:sz="0" w:space="0" w:color="auto"/>
        <w:bottom w:val="none" w:sz="0" w:space="0" w:color="auto"/>
        <w:right w:val="none" w:sz="0" w:space="0" w:color="auto"/>
      </w:divBdr>
    </w:div>
    <w:div w:id="1345012593">
      <w:bodyDiv w:val="1"/>
      <w:marLeft w:val="0"/>
      <w:marRight w:val="0"/>
      <w:marTop w:val="0"/>
      <w:marBottom w:val="0"/>
      <w:divBdr>
        <w:top w:val="none" w:sz="0" w:space="0" w:color="auto"/>
        <w:left w:val="none" w:sz="0" w:space="0" w:color="auto"/>
        <w:bottom w:val="none" w:sz="0" w:space="0" w:color="auto"/>
        <w:right w:val="none" w:sz="0" w:space="0" w:color="auto"/>
      </w:divBdr>
    </w:div>
    <w:div w:id="1373193602">
      <w:bodyDiv w:val="1"/>
      <w:marLeft w:val="0"/>
      <w:marRight w:val="0"/>
      <w:marTop w:val="0"/>
      <w:marBottom w:val="0"/>
      <w:divBdr>
        <w:top w:val="none" w:sz="0" w:space="0" w:color="auto"/>
        <w:left w:val="none" w:sz="0" w:space="0" w:color="auto"/>
        <w:bottom w:val="none" w:sz="0" w:space="0" w:color="auto"/>
        <w:right w:val="none" w:sz="0" w:space="0" w:color="auto"/>
      </w:divBdr>
    </w:div>
    <w:div w:id="1394156650">
      <w:bodyDiv w:val="1"/>
      <w:marLeft w:val="0"/>
      <w:marRight w:val="0"/>
      <w:marTop w:val="0"/>
      <w:marBottom w:val="0"/>
      <w:divBdr>
        <w:top w:val="none" w:sz="0" w:space="0" w:color="auto"/>
        <w:left w:val="none" w:sz="0" w:space="0" w:color="auto"/>
        <w:bottom w:val="none" w:sz="0" w:space="0" w:color="auto"/>
        <w:right w:val="none" w:sz="0" w:space="0" w:color="auto"/>
      </w:divBdr>
    </w:div>
    <w:div w:id="1410884824">
      <w:bodyDiv w:val="1"/>
      <w:marLeft w:val="0"/>
      <w:marRight w:val="0"/>
      <w:marTop w:val="0"/>
      <w:marBottom w:val="0"/>
      <w:divBdr>
        <w:top w:val="none" w:sz="0" w:space="0" w:color="auto"/>
        <w:left w:val="none" w:sz="0" w:space="0" w:color="auto"/>
        <w:bottom w:val="none" w:sz="0" w:space="0" w:color="auto"/>
        <w:right w:val="none" w:sz="0" w:space="0" w:color="auto"/>
      </w:divBdr>
    </w:div>
    <w:div w:id="1425423393">
      <w:bodyDiv w:val="1"/>
      <w:marLeft w:val="0"/>
      <w:marRight w:val="0"/>
      <w:marTop w:val="0"/>
      <w:marBottom w:val="0"/>
      <w:divBdr>
        <w:top w:val="none" w:sz="0" w:space="0" w:color="auto"/>
        <w:left w:val="none" w:sz="0" w:space="0" w:color="auto"/>
        <w:bottom w:val="none" w:sz="0" w:space="0" w:color="auto"/>
        <w:right w:val="none" w:sz="0" w:space="0" w:color="auto"/>
      </w:divBdr>
    </w:div>
    <w:div w:id="1588273091">
      <w:bodyDiv w:val="1"/>
      <w:marLeft w:val="0"/>
      <w:marRight w:val="0"/>
      <w:marTop w:val="0"/>
      <w:marBottom w:val="0"/>
      <w:divBdr>
        <w:top w:val="none" w:sz="0" w:space="0" w:color="auto"/>
        <w:left w:val="none" w:sz="0" w:space="0" w:color="auto"/>
        <w:bottom w:val="none" w:sz="0" w:space="0" w:color="auto"/>
        <w:right w:val="none" w:sz="0" w:space="0" w:color="auto"/>
      </w:divBdr>
    </w:div>
    <w:div w:id="1603950134">
      <w:bodyDiv w:val="1"/>
      <w:marLeft w:val="0"/>
      <w:marRight w:val="0"/>
      <w:marTop w:val="0"/>
      <w:marBottom w:val="0"/>
      <w:divBdr>
        <w:top w:val="none" w:sz="0" w:space="0" w:color="auto"/>
        <w:left w:val="none" w:sz="0" w:space="0" w:color="auto"/>
        <w:bottom w:val="none" w:sz="0" w:space="0" w:color="auto"/>
        <w:right w:val="none" w:sz="0" w:space="0" w:color="auto"/>
      </w:divBdr>
    </w:div>
    <w:div w:id="1611627253">
      <w:bodyDiv w:val="1"/>
      <w:marLeft w:val="0"/>
      <w:marRight w:val="0"/>
      <w:marTop w:val="0"/>
      <w:marBottom w:val="0"/>
      <w:divBdr>
        <w:top w:val="none" w:sz="0" w:space="0" w:color="auto"/>
        <w:left w:val="none" w:sz="0" w:space="0" w:color="auto"/>
        <w:bottom w:val="none" w:sz="0" w:space="0" w:color="auto"/>
        <w:right w:val="none" w:sz="0" w:space="0" w:color="auto"/>
      </w:divBdr>
    </w:div>
    <w:div w:id="1696811709">
      <w:bodyDiv w:val="1"/>
      <w:marLeft w:val="0"/>
      <w:marRight w:val="0"/>
      <w:marTop w:val="0"/>
      <w:marBottom w:val="0"/>
      <w:divBdr>
        <w:top w:val="none" w:sz="0" w:space="0" w:color="auto"/>
        <w:left w:val="none" w:sz="0" w:space="0" w:color="auto"/>
        <w:bottom w:val="none" w:sz="0" w:space="0" w:color="auto"/>
        <w:right w:val="none" w:sz="0" w:space="0" w:color="auto"/>
      </w:divBdr>
    </w:div>
    <w:div w:id="1728723241">
      <w:bodyDiv w:val="1"/>
      <w:marLeft w:val="0"/>
      <w:marRight w:val="0"/>
      <w:marTop w:val="0"/>
      <w:marBottom w:val="0"/>
      <w:divBdr>
        <w:top w:val="none" w:sz="0" w:space="0" w:color="auto"/>
        <w:left w:val="none" w:sz="0" w:space="0" w:color="auto"/>
        <w:bottom w:val="none" w:sz="0" w:space="0" w:color="auto"/>
        <w:right w:val="none" w:sz="0" w:space="0" w:color="auto"/>
      </w:divBdr>
    </w:div>
    <w:div w:id="1760297074">
      <w:bodyDiv w:val="1"/>
      <w:marLeft w:val="0"/>
      <w:marRight w:val="0"/>
      <w:marTop w:val="0"/>
      <w:marBottom w:val="0"/>
      <w:divBdr>
        <w:top w:val="none" w:sz="0" w:space="0" w:color="auto"/>
        <w:left w:val="none" w:sz="0" w:space="0" w:color="auto"/>
        <w:bottom w:val="none" w:sz="0" w:space="0" w:color="auto"/>
        <w:right w:val="none" w:sz="0" w:space="0" w:color="auto"/>
      </w:divBdr>
    </w:div>
    <w:div w:id="1806510155">
      <w:bodyDiv w:val="1"/>
      <w:marLeft w:val="0"/>
      <w:marRight w:val="0"/>
      <w:marTop w:val="0"/>
      <w:marBottom w:val="0"/>
      <w:divBdr>
        <w:top w:val="none" w:sz="0" w:space="0" w:color="auto"/>
        <w:left w:val="none" w:sz="0" w:space="0" w:color="auto"/>
        <w:bottom w:val="none" w:sz="0" w:space="0" w:color="auto"/>
        <w:right w:val="none" w:sz="0" w:space="0" w:color="auto"/>
      </w:divBdr>
    </w:div>
    <w:div w:id="1809739242">
      <w:bodyDiv w:val="1"/>
      <w:marLeft w:val="0"/>
      <w:marRight w:val="0"/>
      <w:marTop w:val="0"/>
      <w:marBottom w:val="0"/>
      <w:divBdr>
        <w:top w:val="none" w:sz="0" w:space="0" w:color="auto"/>
        <w:left w:val="none" w:sz="0" w:space="0" w:color="auto"/>
        <w:bottom w:val="none" w:sz="0" w:space="0" w:color="auto"/>
        <w:right w:val="none" w:sz="0" w:space="0" w:color="auto"/>
      </w:divBdr>
    </w:div>
    <w:div w:id="1829055573">
      <w:bodyDiv w:val="1"/>
      <w:marLeft w:val="0"/>
      <w:marRight w:val="0"/>
      <w:marTop w:val="0"/>
      <w:marBottom w:val="0"/>
      <w:divBdr>
        <w:top w:val="none" w:sz="0" w:space="0" w:color="auto"/>
        <w:left w:val="none" w:sz="0" w:space="0" w:color="auto"/>
        <w:bottom w:val="none" w:sz="0" w:space="0" w:color="auto"/>
        <w:right w:val="none" w:sz="0" w:space="0" w:color="auto"/>
      </w:divBdr>
    </w:div>
    <w:div w:id="2064674378">
      <w:bodyDiv w:val="1"/>
      <w:marLeft w:val="0"/>
      <w:marRight w:val="0"/>
      <w:marTop w:val="0"/>
      <w:marBottom w:val="0"/>
      <w:divBdr>
        <w:top w:val="none" w:sz="0" w:space="0" w:color="auto"/>
        <w:left w:val="none" w:sz="0" w:space="0" w:color="auto"/>
        <w:bottom w:val="none" w:sz="0" w:space="0" w:color="auto"/>
        <w:right w:val="none" w:sz="0" w:space="0" w:color="auto"/>
      </w:divBdr>
    </w:div>
    <w:div w:id="21095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visitug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zen.ru/visitugra" TargetMode="External"/><Relationship Id="rId4" Type="http://schemas.openxmlformats.org/officeDocument/2006/relationships/settings" Target="settings.xml"/><Relationship Id="rId9" Type="http://schemas.openxmlformats.org/officeDocument/2006/relationships/hyperlink" Target="https://t.me/visitugr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AC16E-340E-4A47-A61A-DEF6AE60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6972</Words>
  <Characters>39742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f24</dc:creator>
  <cp:lastModifiedBy>Гапонова Ирина Валерьевна</cp:lastModifiedBy>
  <cp:revision>2</cp:revision>
  <cp:lastPrinted>2025-04-07T12:38:00Z</cp:lastPrinted>
  <dcterms:created xsi:type="dcterms:W3CDTF">2025-04-09T04:23:00Z</dcterms:created>
  <dcterms:modified xsi:type="dcterms:W3CDTF">2025-04-09T04:23:00Z</dcterms:modified>
</cp:coreProperties>
</file>